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44" w:rsidRPr="006E026B" w:rsidRDefault="00B40844" w:rsidP="004358E2">
      <w:pPr>
        <w:spacing w:after="0" w:line="360" w:lineRule="auto"/>
        <w:jc w:val="center"/>
        <w:rPr>
          <w:rFonts w:ascii="Arial" w:hAnsi="Arial" w:cs="Arial"/>
          <w:b/>
          <w:sz w:val="24"/>
          <w:szCs w:val="24"/>
        </w:rPr>
      </w:pPr>
      <w:r w:rsidRPr="006E026B">
        <w:rPr>
          <w:rFonts w:ascii="Arial" w:hAnsi="Arial" w:cs="Arial"/>
          <w:b/>
          <w:sz w:val="24"/>
          <w:szCs w:val="24"/>
        </w:rPr>
        <w:t>REPUBLIC OF NAMIBIA</w:t>
      </w:r>
    </w:p>
    <w:p w:rsidR="00B40844" w:rsidRPr="00EA2DE2" w:rsidRDefault="00B40844" w:rsidP="00B40844">
      <w:pPr>
        <w:spacing w:after="0" w:line="360" w:lineRule="auto"/>
        <w:jc w:val="both"/>
        <w:rPr>
          <w:rFonts w:ascii="Arial Narrow" w:hAnsi="Arial Narrow"/>
          <w:sz w:val="10"/>
          <w:szCs w:val="10"/>
        </w:rPr>
      </w:pPr>
      <w:r>
        <w:rPr>
          <w:noProof/>
          <w:lang w:eastAsia="en-ZA"/>
        </w:rPr>
        <w:drawing>
          <wp:anchor distT="0" distB="0" distL="114300" distR="114300" simplePos="0" relativeHeight="251659264" behindDoc="0" locked="0" layoutInCell="1" allowOverlap="1" wp14:anchorId="51566B02" wp14:editId="7B53FF91">
            <wp:simplePos x="0" y="0"/>
            <wp:positionH relativeFrom="column">
              <wp:posOffset>2266950</wp:posOffset>
            </wp:positionH>
            <wp:positionV relativeFrom="paragraph">
              <wp:posOffset>80010</wp:posOffset>
            </wp:positionV>
            <wp:extent cx="1282065" cy="1333500"/>
            <wp:effectExtent l="0" t="0" r="0" b="0"/>
            <wp:wrapSquare wrapText="bothSides"/>
            <wp:docPr id="1" name="Picture 1" descr="Coat of Ar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06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D92">
        <w:rPr>
          <w:rFonts w:ascii="Arial Narrow" w:hAnsi="Arial Narrow"/>
          <w:b/>
          <w:sz w:val="32"/>
          <w:szCs w:val="32"/>
        </w:rPr>
        <w:br w:type="textWrapping" w:clear="all"/>
      </w:r>
    </w:p>
    <w:p w:rsidR="00B40844" w:rsidRPr="006E026B" w:rsidRDefault="00B40844" w:rsidP="00B40844">
      <w:pPr>
        <w:spacing w:after="0" w:line="360" w:lineRule="auto"/>
        <w:jc w:val="center"/>
        <w:rPr>
          <w:rFonts w:ascii="Arial" w:hAnsi="Arial" w:cs="Arial"/>
          <w:bCs/>
          <w:sz w:val="24"/>
          <w:szCs w:val="24"/>
        </w:rPr>
      </w:pPr>
      <w:r w:rsidRPr="006E026B">
        <w:rPr>
          <w:rFonts w:ascii="Arial" w:hAnsi="Arial" w:cs="Arial"/>
          <w:b/>
          <w:sz w:val="24"/>
          <w:szCs w:val="24"/>
        </w:rPr>
        <w:t>HIGH COURT OF NAMIBIA MAIN DIVISION, WINDHOEK</w:t>
      </w:r>
    </w:p>
    <w:p w:rsidR="00206B05" w:rsidRPr="00346B7A" w:rsidRDefault="002E1151" w:rsidP="00206B05">
      <w:pPr>
        <w:spacing w:after="0" w:line="360" w:lineRule="auto"/>
        <w:jc w:val="center"/>
        <w:rPr>
          <w:rFonts w:ascii="Arial" w:hAnsi="Arial" w:cs="Arial"/>
          <w:b/>
          <w:sz w:val="24"/>
          <w:szCs w:val="24"/>
        </w:rPr>
      </w:pPr>
      <w:r>
        <w:rPr>
          <w:rFonts w:ascii="Arial" w:hAnsi="Arial" w:cs="Arial"/>
          <w:b/>
          <w:sz w:val="24"/>
          <w:szCs w:val="24"/>
          <w:lang w:val="en-US"/>
        </w:rPr>
        <w:t xml:space="preserve">RULING </w:t>
      </w:r>
    </w:p>
    <w:p w:rsidR="00705A2C" w:rsidRPr="00705A2C" w:rsidRDefault="00705A2C" w:rsidP="00B40844">
      <w:pPr>
        <w:spacing w:after="0" w:line="360" w:lineRule="auto"/>
        <w:jc w:val="center"/>
        <w:rPr>
          <w:rFonts w:ascii="Arial" w:hAnsi="Arial" w:cs="Arial"/>
          <w:sz w:val="24"/>
          <w:szCs w:val="24"/>
        </w:rPr>
      </w:pPr>
      <w:r w:rsidRPr="00705A2C">
        <w:rPr>
          <w:rFonts w:ascii="Arial" w:hAnsi="Arial" w:cs="Arial"/>
          <w:sz w:val="24"/>
          <w:szCs w:val="24"/>
        </w:rPr>
        <w:t>PRACTICE DIRECTION 61</w:t>
      </w:r>
    </w:p>
    <w:p w:rsidR="00B40844" w:rsidRPr="002E1151" w:rsidRDefault="00B40844" w:rsidP="00B40844">
      <w:pPr>
        <w:spacing w:after="0" w:line="360" w:lineRule="auto"/>
        <w:jc w:val="both"/>
        <w:rPr>
          <w:rFonts w:ascii="Arial" w:hAnsi="Arial" w:cs="Arial"/>
          <w:sz w:val="12"/>
          <w:szCs w:val="12"/>
        </w:rPr>
      </w:pPr>
    </w:p>
    <w:tbl>
      <w:tblPr>
        <w:tblStyle w:val="TableGrid"/>
        <w:tblW w:w="10632" w:type="dxa"/>
        <w:tblInd w:w="-714" w:type="dxa"/>
        <w:tblLook w:val="04A0" w:firstRow="1" w:lastRow="0" w:firstColumn="1" w:lastColumn="0" w:noHBand="0" w:noVBand="1"/>
      </w:tblPr>
      <w:tblGrid>
        <w:gridCol w:w="5209"/>
        <w:gridCol w:w="1596"/>
        <w:gridCol w:w="3827"/>
      </w:tblGrid>
      <w:tr w:rsidR="00CA7995" w:rsidRPr="00CA7995" w:rsidTr="00C504FC">
        <w:trPr>
          <w:trHeight w:val="1978"/>
        </w:trPr>
        <w:tc>
          <w:tcPr>
            <w:tcW w:w="6805" w:type="dxa"/>
            <w:gridSpan w:val="2"/>
            <w:vMerge w:val="restart"/>
          </w:tcPr>
          <w:p w:rsidR="00B40844" w:rsidRPr="00015DC1" w:rsidRDefault="00B40844" w:rsidP="00937C89">
            <w:pPr>
              <w:spacing w:line="360" w:lineRule="auto"/>
              <w:jc w:val="both"/>
              <w:rPr>
                <w:rFonts w:ascii="Arial" w:hAnsi="Arial" w:cs="Arial"/>
                <w:sz w:val="24"/>
                <w:szCs w:val="24"/>
              </w:rPr>
            </w:pPr>
            <w:r w:rsidRPr="00015DC1">
              <w:rPr>
                <w:rFonts w:ascii="Arial" w:hAnsi="Arial" w:cs="Arial"/>
                <w:b/>
                <w:sz w:val="24"/>
                <w:szCs w:val="24"/>
              </w:rPr>
              <w:t>Case Title:</w:t>
            </w:r>
          </w:p>
          <w:p w:rsidR="00206B05" w:rsidRPr="002A5C0F" w:rsidRDefault="00206B05" w:rsidP="00206B05">
            <w:pPr>
              <w:jc w:val="both"/>
              <w:rPr>
                <w:rFonts w:ascii="Arial" w:hAnsi="Arial" w:cs="Arial"/>
                <w:sz w:val="24"/>
                <w:szCs w:val="24"/>
                <w:shd w:val="clear" w:color="auto" w:fill="FFFFFF"/>
              </w:rPr>
            </w:pPr>
          </w:p>
          <w:p w:rsidR="00351565" w:rsidRDefault="00351565" w:rsidP="003B0F1E">
            <w:pPr>
              <w:spacing w:line="360" w:lineRule="auto"/>
              <w:jc w:val="both"/>
              <w:rPr>
                <w:rFonts w:ascii="Arial" w:hAnsi="Arial" w:cs="Arial"/>
                <w:sz w:val="24"/>
                <w:szCs w:val="24"/>
              </w:rPr>
            </w:pPr>
            <w:r w:rsidRPr="00351565">
              <w:rPr>
                <w:rFonts w:ascii="Arial" w:hAnsi="Arial" w:cs="Arial"/>
                <w:sz w:val="24"/>
                <w:szCs w:val="24"/>
              </w:rPr>
              <w:t xml:space="preserve">SALT ESSENTIAL INFORMATION </w:t>
            </w:r>
          </w:p>
          <w:p w:rsidR="003B0F1E" w:rsidRPr="00EB0606" w:rsidRDefault="00351565" w:rsidP="003B0F1E">
            <w:pPr>
              <w:spacing w:line="360" w:lineRule="auto"/>
              <w:jc w:val="both"/>
              <w:rPr>
                <w:rFonts w:ascii="Arial" w:hAnsi="Arial" w:cs="Arial"/>
                <w:sz w:val="24"/>
                <w:szCs w:val="24"/>
                <w:shd w:val="clear" w:color="auto" w:fill="FFFFFF"/>
              </w:rPr>
            </w:pPr>
            <w:r w:rsidRPr="00351565">
              <w:rPr>
                <w:rFonts w:ascii="Arial" w:hAnsi="Arial" w:cs="Arial"/>
                <w:sz w:val="24"/>
                <w:szCs w:val="24"/>
              </w:rPr>
              <w:t>TECHNOLOGY (PTY) LTD</w:t>
            </w:r>
            <w:r w:rsidR="00801B03">
              <w:t xml:space="preserve">    </w:t>
            </w:r>
            <w:r>
              <w:t xml:space="preserve">                                               </w:t>
            </w:r>
            <w:r>
              <w:rPr>
                <w:rFonts w:ascii="Arial" w:hAnsi="Arial" w:cs="Arial"/>
              </w:rPr>
              <w:t>APPLICANT</w:t>
            </w:r>
          </w:p>
          <w:p w:rsidR="002A5C0F" w:rsidRPr="002A5C0F" w:rsidRDefault="002A5C0F" w:rsidP="00CB33F7">
            <w:pPr>
              <w:jc w:val="both"/>
              <w:rPr>
                <w:rFonts w:ascii="Arial" w:hAnsi="Arial" w:cs="Arial"/>
                <w:sz w:val="24"/>
                <w:szCs w:val="24"/>
                <w:shd w:val="clear" w:color="auto" w:fill="FFFFFF"/>
              </w:rPr>
            </w:pPr>
          </w:p>
          <w:p w:rsidR="00206B05" w:rsidRPr="00C71A4D" w:rsidRDefault="00206B05" w:rsidP="003B0F1E">
            <w:pPr>
              <w:spacing w:line="360" w:lineRule="auto"/>
              <w:jc w:val="both"/>
              <w:rPr>
                <w:rFonts w:ascii="Arial" w:hAnsi="Arial" w:cs="Arial"/>
                <w:sz w:val="24"/>
                <w:szCs w:val="24"/>
                <w:shd w:val="clear" w:color="auto" w:fill="FFFFFF"/>
              </w:rPr>
            </w:pPr>
            <w:r w:rsidRPr="00C71A4D">
              <w:rPr>
                <w:rFonts w:ascii="Arial" w:hAnsi="Arial" w:cs="Arial"/>
                <w:sz w:val="24"/>
                <w:szCs w:val="24"/>
                <w:shd w:val="clear" w:color="auto" w:fill="FFFFFF"/>
              </w:rPr>
              <w:t>and</w:t>
            </w:r>
          </w:p>
          <w:p w:rsidR="00206B05" w:rsidRPr="002A5C0F" w:rsidRDefault="00206B05" w:rsidP="00CB33F7">
            <w:pPr>
              <w:jc w:val="both"/>
              <w:rPr>
                <w:rFonts w:ascii="Arial" w:hAnsi="Arial" w:cs="Arial"/>
                <w:sz w:val="24"/>
                <w:szCs w:val="24"/>
                <w:shd w:val="clear" w:color="auto" w:fill="FFFFFF"/>
              </w:rPr>
            </w:pPr>
          </w:p>
          <w:p w:rsidR="003B0F1E" w:rsidRDefault="00351565" w:rsidP="003B0F1E">
            <w:pPr>
              <w:spacing w:line="360" w:lineRule="auto"/>
              <w:jc w:val="both"/>
              <w:rPr>
                <w:rFonts w:ascii="Arial" w:hAnsi="Arial" w:cs="Arial"/>
                <w:sz w:val="24"/>
                <w:szCs w:val="24"/>
              </w:rPr>
            </w:pPr>
            <w:r w:rsidRPr="00351565">
              <w:rPr>
                <w:rFonts w:ascii="Arial" w:hAnsi="Arial" w:cs="Arial"/>
                <w:sz w:val="24"/>
                <w:szCs w:val="24"/>
              </w:rPr>
              <w:t>RDW PROPERTIES CC</w:t>
            </w:r>
            <w:r w:rsidR="00EB0606" w:rsidRPr="00EB0606">
              <w:rPr>
                <w:rFonts w:ascii="Arial" w:hAnsi="Arial" w:cs="Arial"/>
                <w:sz w:val="24"/>
                <w:szCs w:val="24"/>
              </w:rPr>
              <w:t xml:space="preserve">   </w:t>
            </w:r>
            <w:r>
              <w:rPr>
                <w:rFonts w:ascii="Arial" w:hAnsi="Arial" w:cs="Arial"/>
                <w:sz w:val="24"/>
                <w:szCs w:val="24"/>
              </w:rPr>
              <w:t xml:space="preserve">                      FIRST RESPONDENT</w:t>
            </w:r>
          </w:p>
          <w:p w:rsidR="002E67DE" w:rsidRDefault="00351565" w:rsidP="003B0F1E">
            <w:pPr>
              <w:spacing w:line="360" w:lineRule="auto"/>
              <w:jc w:val="both"/>
              <w:rPr>
                <w:rFonts w:ascii="Arial" w:hAnsi="Arial" w:cs="Arial"/>
                <w:sz w:val="24"/>
                <w:szCs w:val="24"/>
              </w:rPr>
            </w:pPr>
            <w:r w:rsidRPr="00351565">
              <w:rPr>
                <w:rFonts w:ascii="Arial" w:hAnsi="Arial" w:cs="Arial"/>
                <w:sz w:val="24"/>
                <w:szCs w:val="24"/>
              </w:rPr>
              <w:t xml:space="preserve">THE CHIEF JUSTICE </w:t>
            </w:r>
          </w:p>
          <w:p w:rsidR="00351565" w:rsidRPr="00351565" w:rsidRDefault="00351565" w:rsidP="003B0F1E">
            <w:pPr>
              <w:spacing w:line="360" w:lineRule="auto"/>
              <w:jc w:val="both"/>
              <w:rPr>
                <w:rFonts w:ascii="Arial" w:hAnsi="Arial" w:cs="Arial"/>
                <w:sz w:val="24"/>
                <w:szCs w:val="24"/>
              </w:rPr>
            </w:pPr>
            <w:r w:rsidRPr="00351565">
              <w:rPr>
                <w:rFonts w:ascii="Arial" w:hAnsi="Arial" w:cs="Arial"/>
                <w:sz w:val="24"/>
                <w:szCs w:val="24"/>
              </w:rPr>
              <w:t>OF NAMIBIA</w:t>
            </w:r>
            <w:r w:rsidRPr="00351565">
              <w:rPr>
                <w:rFonts w:ascii="Arial" w:hAnsi="Arial" w:cs="Arial"/>
                <w:b/>
                <w:sz w:val="24"/>
                <w:szCs w:val="24"/>
              </w:rPr>
              <w:t xml:space="preserve">          </w:t>
            </w:r>
            <w:r w:rsidR="002E67DE">
              <w:rPr>
                <w:rFonts w:ascii="Arial" w:hAnsi="Arial" w:cs="Arial"/>
                <w:b/>
                <w:sz w:val="24"/>
                <w:szCs w:val="24"/>
              </w:rPr>
              <w:t xml:space="preserve">                           </w:t>
            </w:r>
            <w:r w:rsidRPr="00351565">
              <w:rPr>
                <w:rFonts w:ascii="Arial" w:hAnsi="Arial" w:cs="Arial"/>
                <w:sz w:val="24"/>
                <w:szCs w:val="24"/>
              </w:rPr>
              <w:t>SECOND RESPONDENT</w:t>
            </w:r>
          </w:p>
          <w:p w:rsidR="002E67DE" w:rsidRDefault="00351565" w:rsidP="003B0F1E">
            <w:pPr>
              <w:spacing w:line="360" w:lineRule="auto"/>
              <w:jc w:val="both"/>
              <w:rPr>
                <w:rFonts w:ascii="Arial" w:hAnsi="Arial" w:cs="Arial"/>
                <w:sz w:val="24"/>
                <w:szCs w:val="24"/>
              </w:rPr>
            </w:pPr>
            <w:r w:rsidRPr="00351565">
              <w:rPr>
                <w:rFonts w:ascii="Arial" w:hAnsi="Arial" w:cs="Arial"/>
                <w:sz w:val="24"/>
                <w:szCs w:val="24"/>
              </w:rPr>
              <w:t xml:space="preserve">THEODORUS </w:t>
            </w:r>
          </w:p>
          <w:p w:rsidR="00351565" w:rsidRPr="00351565" w:rsidRDefault="00351565" w:rsidP="003B0F1E">
            <w:pPr>
              <w:spacing w:line="360" w:lineRule="auto"/>
              <w:jc w:val="both"/>
              <w:rPr>
                <w:rFonts w:ascii="Arial" w:hAnsi="Arial" w:cs="Arial"/>
                <w:sz w:val="24"/>
                <w:szCs w:val="24"/>
              </w:rPr>
            </w:pPr>
            <w:r w:rsidRPr="00351565">
              <w:rPr>
                <w:rFonts w:ascii="Arial" w:hAnsi="Arial" w:cs="Arial"/>
                <w:sz w:val="24"/>
                <w:szCs w:val="24"/>
              </w:rPr>
              <w:t>ADAM BARNARD</w:t>
            </w:r>
            <w:r w:rsidR="002E67DE">
              <w:rPr>
                <w:rFonts w:ascii="Arial" w:hAnsi="Arial" w:cs="Arial"/>
                <w:sz w:val="24"/>
                <w:szCs w:val="24"/>
              </w:rPr>
              <w:t xml:space="preserve">                                 THIRD RESPONDENT</w:t>
            </w:r>
          </w:p>
          <w:p w:rsidR="00206B05" w:rsidRPr="00C504FC" w:rsidRDefault="00206B05" w:rsidP="00351565">
            <w:pPr>
              <w:spacing w:line="360" w:lineRule="auto"/>
              <w:jc w:val="both"/>
              <w:rPr>
                <w:rFonts w:ascii="Arial" w:hAnsi="Arial" w:cs="Arial"/>
                <w:sz w:val="20"/>
                <w:szCs w:val="20"/>
              </w:rPr>
            </w:pPr>
          </w:p>
        </w:tc>
        <w:tc>
          <w:tcPr>
            <w:tcW w:w="3827" w:type="dxa"/>
          </w:tcPr>
          <w:p w:rsidR="00B40844" w:rsidRPr="00C97B0A" w:rsidRDefault="00B40844" w:rsidP="00937C89">
            <w:pPr>
              <w:spacing w:line="360" w:lineRule="auto"/>
              <w:jc w:val="both"/>
              <w:rPr>
                <w:rFonts w:ascii="Arial" w:hAnsi="Arial" w:cs="Arial"/>
                <w:b/>
                <w:sz w:val="24"/>
                <w:szCs w:val="24"/>
              </w:rPr>
            </w:pPr>
            <w:r w:rsidRPr="00C97B0A">
              <w:rPr>
                <w:rFonts w:ascii="Arial" w:hAnsi="Arial" w:cs="Arial"/>
                <w:b/>
                <w:sz w:val="24"/>
                <w:szCs w:val="24"/>
              </w:rPr>
              <w:t>Case No:</w:t>
            </w:r>
          </w:p>
          <w:p w:rsidR="003F3D99" w:rsidRPr="00351565" w:rsidRDefault="00351565" w:rsidP="00C71A4D">
            <w:pPr>
              <w:spacing w:line="360" w:lineRule="auto"/>
              <w:jc w:val="both"/>
              <w:rPr>
                <w:rFonts w:ascii="Arial" w:hAnsi="Arial" w:cs="Arial"/>
                <w:sz w:val="24"/>
                <w:szCs w:val="24"/>
              </w:rPr>
            </w:pPr>
            <w:r w:rsidRPr="00351565">
              <w:rPr>
                <w:rFonts w:ascii="Arial" w:hAnsi="Arial" w:cs="Arial"/>
                <w:sz w:val="24"/>
                <w:szCs w:val="24"/>
              </w:rPr>
              <w:t>HC-MD-CIV-ACT-CON-2021/02204</w:t>
            </w:r>
          </w:p>
        </w:tc>
      </w:tr>
      <w:tr w:rsidR="00CA7995" w:rsidRPr="00CA7995" w:rsidTr="00C97B0A">
        <w:trPr>
          <w:trHeight w:val="968"/>
        </w:trPr>
        <w:tc>
          <w:tcPr>
            <w:tcW w:w="6805" w:type="dxa"/>
            <w:gridSpan w:val="2"/>
            <w:vMerge/>
          </w:tcPr>
          <w:p w:rsidR="00B40844" w:rsidRPr="00015DC1" w:rsidRDefault="00B40844" w:rsidP="00937C89">
            <w:pPr>
              <w:spacing w:line="360" w:lineRule="auto"/>
              <w:jc w:val="both"/>
              <w:rPr>
                <w:rFonts w:ascii="Arial" w:hAnsi="Arial" w:cs="Arial"/>
                <w:sz w:val="24"/>
                <w:szCs w:val="24"/>
              </w:rPr>
            </w:pPr>
          </w:p>
        </w:tc>
        <w:tc>
          <w:tcPr>
            <w:tcW w:w="3827" w:type="dxa"/>
          </w:tcPr>
          <w:p w:rsidR="00B40844" w:rsidRPr="00C97B0A" w:rsidRDefault="00B40844" w:rsidP="00937C89">
            <w:pPr>
              <w:spacing w:line="360" w:lineRule="auto"/>
              <w:jc w:val="both"/>
              <w:rPr>
                <w:rFonts w:ascii="Arial" w:hAnsi="Arial" w:cs="Arial"/>
                <w:sz w:val="24"/>
                <w:szCs w:val="24"/>
              </w:rPr>
            </w:pPr>
            <w:r w:rsidRPr="00C97B0A">
              <w:rPr>
                <w:rFonts w:ascii="Arial" w:hAnsi="Arial" w:cs="Arial"/>
                <w:b/>
                <w:sz w:val="24"/>
                <w:szCs w:val="24"/>
              </w:rPr>
              <w:t>Division of Court:</w:t>
            </w:r>
          </w:p>
          <w:p w:rsidR="00B40844" w:rsidRPr="00C97B0A" w:rsidRDefault="00B40844" w:rsidP="00937C89">
            <w:pPr>
              <w:spacing w:line="360" w:lineRule="auto"/>
              <w:jc w:val="both"/>
              <w:rPr>
                <w:rFonts w:ascii="Arial" w:hAnsi="Arial" w:cs="Arial"/>
                <w:sz w:val="24"/>
                <w:szCs w:val="24"/>
              </w:rPr>
            </w:pPr>
            <w:r w:rsidRPr="00C97B0A">
              <w:rPr>
                <w:rFonts w:ascii="Arial" w:hAnsi="Arial" w:cs="Arial"/>
                <w:sz w:val="24"/>
                <w:szCs w:val="24"/>
              </w:rPr>
              <w:t>HIGH COURT (MAIN DIVISION)</w:t>
            </w:r>
          </w:p>
        </w:tc>
      </w:tr>
      <w:tr w:rsidR="00CA7995" w:rsidRPr="00CA7995" w:rsidTr="00C97B0A">
        <w:trPr>
          <w:trHeight w:val="768"/>
        </w:trPr>
        <w:tc>
          <w:tcPr>
            <w:tcW w:w="6805" w:type="dxa"/>
            <w:gridSpan w:val="2"/>
            <w:vMerge w:val="restart"/>
          </w:tcPr>
          <w:p w:rsidR="00B40844" w:rsidRPr="00015DC1" w:rsidRDefault="00B40844" w:rsidP="00937C89">
            <w:pPr>
              <w:spacing w:line="360" w:lineRule="auto"/>
              <w:jc w:val="both"/>
              <w:rPr>
                <w:rFonts w:ascii="Arial" w:hAnsi="Arial" w:cs="Arial"/>
                <w:b/>
                <w:sz w:val="24"/>
                <w:szCs w:val="24"/>
              </w:rPr>
            </w:pPr>
            <w:r w:rsidRPr="00015DC1">
              <w:rPr>
                <w:rFonts w:ascii="Arial" w:hAnsi="Arial" w:cs="Arial"/>
                <w:b/>
                <w:sz w:val="24"/>
                <w:szCs w:val="24"/>
              </w:rPr>
              <w:t>Heard before:</w:t>
            </w:r>
          </w:p>
          <w:p w:rsidR="00B40844" w:rsidRPr="00015DC1" w:rsidRDefault="00B40844" w:rsidP="003F3D99">
            <w:pPr>
              <w:spacing w:line="360" w:lineRule="auto"/>
              <w:jc w:val="both"/>
              <w:rPr>
                <w:rFonts w:ascii="Arial" w:hAnsi="Arial" w:cs="Arial"/>
                <w:sz w:val="24"/>
                <w:szCs w:val="24"/>
              </w:rPr>
            </w:pPr>
            <w:r w:rsidRPr="00015DC1">
              <w:rPr>
                <w:rFonts w:ascii="Arial" w:hAnsi="Arial" w:cs="Arial"/>
                <w:sz w:val="24"/>
                <w:szCs w:val="24"/>
              </w:rPr>
              <w:t xml:space="preserve">HONOURABLE MR JUSTICE </w:t>
            </w:r>
            <w:r w:rsidR="003F3D99">
              <w:rPr>
                <w:rFonts w:ascii="Arial" w:hAnsi="Arial" w:cs="Arial"/>
                <w:sz w:val="24"/>
                <w:szCs w:val="24"/>
              </w:rPr>
              <w:t>PARKER, ACTING</w:t>
            </w:r>
          </w:p>
        </w:tc>
        <w:tc>
          <w:tcPr>
            <w:tcW w:w="3827" w:type="dxa"/>
          </w:tcPr>
          <w:p w:rsidR="00B40844" w:rsidRPr="00015DC1" w:rsidRDefault="00B40844" w:rsidP="00937C89">
            <w:pPr>
              <w:spacing w:line="360" w:lineRule="auto"/>
              <w:jc w:val="both"/>
              <w:rPr>
                <w:rFonts w:ascii="Arial" w:hAnsi="Arial" w:cs="Arial"/>
                <w:b/>
                <w:sz w:val="24"/>
                <w:szCs w:val="24"/>
              </w:rPr>
            </w:pPr>
            <w:r w:rsidRPr="00015DC1">
              <w:rPr>
                <w:rFonts w:ascii="Arial" w:hAnsi="Arial" w:cs="Arial"/>
                <w:b/>
                <w:sz w:val="24"/>
                <w:szCs w:val="24"/>
              </w:rPr>
              <w:t>Date of hearing:</w:t>
            </w:r>
          </w:p>
          <w:p w:rsidR="00B40844" w:rsidRPr="00015DC1" w:rsidRDefault="00351565" w:rsidP="00351565">
            <w:pPr>
              <w:spacing w:line="360" w:lineRule="auto"/>
              <w:jc w:val="both"/>
              <w:rPr>
                <w:rFonts w:ascii="Arial" w:hAnsi="Arial" w:cs="Arial"/>
                <w:sz w:val="24"/>
                <w:szCs w:val="24"/>
              </w:rPr>
            </w:pPr>
            <w:r>
              <w:rPr>
                <w:rFonts w:ascii="Arial" w:hAnsi="Arial" w:cs="Arial"/>
                <w:sz w:val="24"/>
                <w:szCs w:val="24"/>
              </w:rPr>
              <w:t>20</w:t>
            </w:r>
            <w:r w:rsidR="00EB0606">
              <w:rPr>
                <w:rFonts w:ascii="Arial" w:hAnsi="Arial" w:cs="Arial"/>
                <w:sz w:val="24"/>
                <w:szCs w:val="24"/>
              </w:rPr>
              <w:t xml:space="preserve"> </w:t>
            </w:r>
            <w:r>
              <w:rPr>
                <w:rFonts w:ascii="Arial" w:hAnsi="Arial" w:cs="Arial"/>
                <w:sz w:val="24"/>
                <w:szCs w:val="24"/>
              </w:rPr>
              <w:t>JUNE</w:t>
            </w:r>
            <w:r w:rsidR="00EB0606">
              <w:rPr>
                <w:rFonts w:ascii="Arial" w:hAnsi="Arial" w:cs="Arial"/>
                <w:sz w:val="24"/>
                <w:szCs w:val="24"/>
              </w:rPr>
              <w:t xml:space="preserve"> 2024</w:t>
            </w:r>
          </w:p>
        </w:tc>
      </w:tr>
      <w:tr w:rsidR="00CA7995" w:rsidRPr="00CA7995" w:rsidTr="00C97B0A">
        <w:trPr>
          <w:trHeight w:val="796"/>
        </w:trPr>
        <w:tc>
          <w:tcPr>
            <w:tcW w:w="6805" w:type="dxa"/>
            <w:gridSpan w:val="2"/>
            <w:vMerge/>
          </w:tcPr>
          <w:p w:rsidR="00B40844" w:rsidRPr="00015DC1" w:rsidRDefault="00B40844" w:rsidP="00937C89">
            <w:pPr>
              <w:spacing w:line="360" w:lineRule="auto"/>
              <w:jc w:val="both"/>
              <w:rPr>
                <w:rFonts w:ascii="Arial" w:hAnsi="Arial" w:cs="Arial"/>
                <w:b/>
                <w:sz w:val="24"/>
                <w:szCs w:val="24"/>
              </w:rPr>
            </w:pPr>
          </w:p>
        </w:tc>
        <w:tc>
          <w:tcPr>
            <w:tcW w:w="3827" w:type="dxa"/>
          </w:tcPr>
          <w:p w:rsidR="00B40844" w:rsidRPr="00015DC1" w:rsidRDefault="00B40844" w:rsidP="00937C89">
            <w:pPr>
              <w:spacing w:line="360" w:lineRule="auto"/>
              <w:jc w:val="both"/>
              <w:rPr>
                <w:rFonts w:ascii="Arial" w:hAnsi="Arial" w:cs="Arial"/>
                <w:b/>
                <w:sz w:val="24"/>
                <w:szCs w:val="24"/>
              </w:rPr>
            </w:pPr>
            <w:r w:rsidRPr="00015DC1">
              <w:rPr>
                <w:rFonts w:ascii="Arial" w:hAnsi="Arial" w:cs="Arial"/>
                <w:b/>
                <w:sz w:val="24"/>
                <w:szCs w:val="24"/>
              </w:rPr>
              <w:t>Delivered on:</w:t>
            </w:r>
          </w:p>
          <w:p w:rsidR="00B40844" w:rsidRPr="00015DC1" w:rsidRDefault="00351565" w:rsidP="00351565">
            <w:pPr>
              <w:spacing w:line="360" w:lineRule="auto"/>
              <w:jc w:val="both"/>
              <w:rPr>
                <w:rFonts w:ascii="Arial" w:hAnsi="Arial" w:cs="Arial"/>
                <w:b/>
                <w:sz w:val="24"/>
                <w:szCs w:val="24"/>
              </w:rPr>
            </w:pPr>
            <w:r>
              <w:rPr>
                <w:rFonts w:ascii="Arial" w:hAnsi="Arial" w:cs="Arial"/>
                <w:sz w:val="24"/>
                <w:szCs w:val="24"/>
              </w:rPr>
              <w:t>10</w:t>
            </w:r>
            <w:r w:rsidR="00C97B0A">
              <w:rPr>
                <w:rFonts w:ascii="Arial" w:hAnsi="Arial" w:cs="Arial"/>
                <w:sz w:val="24"/>
                <w:szCs w:val="24"/>
              </w:rPr>
              <w:t xml:space="preserve"> </w:t>
            </w:r>
            <w:r>
              <w:rPr>
                <w:rFonts w:ascii="Arial" w:hAnsi="Arial" w:cs="Arial"/>
                <w:sz w:val="24"/>
                <w:szCs w:val="24"/>
              </w:rPr>
              <w:t>JULY</w:t>
            </w:r>
            <w:r w:rsidR="003F3D99">
              <w:rPr>
                <w:rFonts w:ascii="Arial" w:hAnsi="Arial" w:cs="Arial"/>
                <w:sz w:val="24"/>
                <w:szCs w:val="24"/>
              </w:rPr>
              <w:t xml:space="preserve"> 2024</w:t>
            </w:r>
          </w:p>
        </w:tc>
      </w:tr>
      <w:tr w:rsidR="00CA7995" w:rsidRPr="00CA7995" w:rsidTr="003B0F1E">
        <w:trPr>
          <w:trHeight w:val="876"/>
        </w:trPr>
        <w:tc>
          <w:tcPr>
            <w:tcW w:w="10632" w:type="dxa"/>
            <w:gridSpan w:val="3"/>
          </w:tcPr>
          <w:p w:rsidR="00B40844" w:rsidRPr="00CA7995" w:rsidRDefault="00B40844" w:rsidP="00513783">
            <w:pPr>
              <w:spacing w:line="360" w:lineRule="auto"/>
              <w:ind w:left="2019" w:hanging="2019"/>
              <w:jc w:val="both"/>
              <w:rPr>
                <w:rFonts w:ascii="Arial" w:hAnsi="Arial" w:cs="Arial"/>
                <w:sz w:val="24"/>
                <w:szCs w:val="24"/>
              </w:rPr>
            </w:pPr>
            <w:r w:rsidRPr="00CA7995">
              <w:rPr>
                <w:rFonts w:ascii="Arial" w:hAnsi="Arial" w:cs="Arial"/>
                <w:b/>
                <w:sz w:val="24"/>
                <w:szCs w:val="24"/>
              </w:rPr>
              <w:t xml:space="preserve">Neutral </w:t>
            </w:r>
            <w:r w:rsidRPr="00C71A4D">
              <w:rPr>
                <w:rFonts w:ascii="Arial" w:hAnsi="Arial" w:cs="Arial"/>
                <w:b/>
                <w:sz w:val="24"/>
                <w:szCs w:val="24"/>
              </w:rPr>
              <w:t>citation:</w:t>
            </w:r>
            <w:r w:rsidRPr="00C71A4D">
              <w:rPr>
                <w:rFonts w:ascii="Arial" w:hAnsi="Arial" w:cs="Arial"/>
                <w:sz w:val="24"/>
                <w:szCs w:val="24"/>
              </w:rPr>
              <w:t xml:space="preserve"> </w:t>
            </w:r>
            <w:r w:rsidR="00AE57BB">
              <w:rPr>
                <w:rFonts w:ascii="Arial" w:hAnsi="Arial" w:cs="Arial"/>
                <w:sz w:val="24"/>
                <w:szCs w:val="24"/>
              </w:rPr>
              <w:t xml:space="preserve"> </w:t>
            </w:r>
            <w:r w:rsidR="009840E2">
              <w:rPr>
                <w:rFonts w:ascii="Arial" w:hAnsi="Arial" w:cs="Arial"/>
                <w:sz w:val="24"/>
                <w:szCs w:val="24"/>
              </w:rPr>
              <w:t xml:space="preserve"> </w:t>
            </w:r>
            <w:r w:rsidR="00351565">
              <w:rPr>
                <w:rFonts w:ascii="Arial" w:hAnsi="Arial" w:cs="Arial"/>
                <w:i/>
                <w:sz w:val="24"/>
                <w:szCs w:val="24"/>
              </w:rPr>
              <w:t>S</w:t>
            </w:r>
            <w:r w:rsidR="00351565" w:rsidRPr="00351565">
              <w:rPr>
                <w:rFonts w:ascii="Arial" w:hAnsi="Arial" w:cs="Arial"/>
                <w:i/>
                <w:sz w:val="24"/>
                <w:szCs w:val="24"/>
              </w:rPr>
              <w:t xml:space="preserve">alt </w:t>
            </w:r>
            <w:r w:rsidR="00351565">
              <w:rPr>
                <w:rFonts w:ascii="Arial" w:hAnsi="Arial" w:cs="Arial"/>
                <w:i/>
                <w:sz w:val="24"/>
                <w:szCs w:val="24"/>
              </w:rPr>
              <w:t>E</w:t>
            </w:r>
            <w:r w:rsidR="00351565" w:rsidRPr="00351565">
              <w:rPr>
                <w:rFonts w:ascii="Arial" w:hAnsi="Arial" w:cs="Arial"/>
                <w:i/>
                <w:sz w:val="24"/>
                <w:szCs w:val="24"/>
              </w:rPr>
              <w:t xml:space="preserve">ssential </w:t>
            </w:r>
            <w:r w:rsidR="00351565">
              <w:rPr>
                <w:rFonts w:ascii="Arial" w:hAnsi="Arial" w:cs="Arial"/>
                <w:i/>
                <w:sz w:val="24"/>
                <w:szCs w:val="24"/>
              </w:rPr>
              <w:t>I</w:t>
            </w:r>
            <w:r w:rsidR="00351565" w:rsidRPr="00351565">
              <w:rPr>
                <w:rFonts w:ascii="Arial" w:hAnsi="Arial" w:cs="Arial"/>
                <w:i/>
                <w:sz w:val="24"/>
                <w:szCs w:val="24"/>
              </w:rPr>
              <w:t>nformation Technology (</w:t>
            </w:r>
            <w:r w:rsidR="00351565">
              <w:rPr>
                <w:rFonts w:ascii="Arial" w:hAnsi="Arial" w:cs="Arial"/>
                <w:i/>
                <w:sz w:val="24"/>
                <w:szCs w:val="24"/>
              </w:rPr>
              <w:t>P</w:t>
            </w:r>
            <w:r w:rsidR="00351565" w:rsidRPr="00351565">
              <w:rPr>
                <w:rFonts w:ascii="Arial" w:hAnsi="Arial" w:cs="Arial"/>
                <w:i/>
                <w:sz w:val="24"/>
                <w:szCs w:val="24"/>
              </w:rPr>
              <w:t xml:space="preserve">ty) </w:t>
            </w:r>
            <w:r w:rsidR="00351565">
              <w:rPr>
                <w:rFonts w:ascii="Arial" w:hAnsi="Arial" w:cs="Arial"/>
                <w:i/>
                <w:sz w:val="24"/>
                <w:szCs w:val="24"/>
              </w:rPr>
              <w:t>L</w:t>
            </w:r>
            <w:r w:rsidR="00351565" w:rsidRPr="00351565">
              <w:rPr>
                <w:rFonts w:ascii="Arial" w:hAnsi="Arial" w:cs="Arial"/>
                <w:i/>
                <w:sz w:val="24"/>
                <w:szCs w:val="24"/>
              </w:rPr>
              <w:t>td</w:t>
            </w:r>
            <w:r w:rsidR="008E1D44" w:rsidRPr="006864F0">
              <w:rPr>
                <w:rFonts w:ascii="Arial" w:hAnsi="Arial" w:cs="Arial"/>
                <w:i/>
                <w:sz w:val="24"/>
                <w:szCs w:val="24"/>
              </w:rPr>
              <w:t xml:space="preserve"> </w:t>
            </w:r>
            <w:r w:rsidR="003F3D99" w:rsidRPr="006864F0">
              <w:rPr>
                <w:rFonts w:ascii="Arial" w:hAnsi="Arial" w:cs="Arial"/>
                <w:i/>
                <w:sz w:val="24"/>
                <w:szCs w:val="24"/>
              </w:rPr>
              <w:t xml:space="preserve">v </w:t>
            </w:r>
            <w:r w:rsidR="00351565" w:rsidRPr="00351565">
              <w:rPr>
                <w:rFonts w:ascii="Arial" w:hAnsi="Arial" w:cs="Arial"/>
                <w:i/>
                <w:sz w:val="24"/>
                <w:szCs w:val="24"/>
              </w:rPr>
              <w:t xml:space="preserve">RDW </w:t>
            </w:r>
            <w:r w:rsidR="00351565">
              <w:rPr>
                <w:rFonts w:ascii="Arial" w:hAnsi="Arial" w:cs="Arial"/>
                <w:i/>
                <w:sz w:val="24"/>
                <w:szCs w:val="24"/>
              </w:rPr>
              <w:t>P</w:t>
            </w:r>
            <w:r w:rsidR="00351565" w:rsidRPr="00351565">
              <w:rPr>
                <w:rFonts w:ascii="Arial" w:hAnsi="Arial" w:cs="Arial"/>
                <w:i/>
                <w:sz w:val="24"/>
                <w:szCs w:val="24"/>
              </w:rPr>
              <w:t xml:space="preserve">roperties </w:t>
            </w:r>
            <w:r w:rsidR="00351565">
              <w:rPr>
                <w:rFonts w:ascii="Arial" w:hAnsi="Arial" w:cs="Arial"/>
                <w:i/>
                <w:sz w:val="24"/>
                <w:szCs w:val="24"/>
              </w:rPr>
              <w:t>CC</w:t>
            </w:r>
            <w:r w:rsidR="008E1D44" w:rsidRPr="00C71A4D">
              <w:rPr>
                <w:rFonts w:ascii="Arial" w:hAnsi="Arial" w:cs="Arial"/>
                <w:sz w:val="24"/>
                <w:szCs w:val="24"/>
              </w:rPr>
              <w:t xml:space="preserve"> </w:t>
            </w:r>
            <w:r w:rsidR="003F3D99" w:rsidRPr="00C71A4D">
              <w:rPr>
                <w:rFonts w:ascii="Arial" w:hAnsi="Arial" w:cs="Arial"/>
                <w:sz w:val="24"/>
                <w:szCs w:val="24"/>
              </w:rPr>
              <w:t>(</w:t>
            </w:r>
            <w:r w:rsidR="00351565" w:rsidRPr="00351565">
              <w:rPr>
                <w:rFonts w:ascii="Arial" w:hAnsi="Arial" w:cs="Arial"/>
                <w:sz w:val="24"/>
                <w:szCs w:val="24"/>
              </w:rPr>
              <w:t>HC-MD-CIV-ACT-CON-2021/02204</w:t>
            </w:r>
            <w:r w:rsidR="003F3D99" w:rsidRPr="00C71A4D">
              <w:rPr>
                <w:rFonts w:ascii="Arial" w:hAnsi="Arial" w:cs="Arial"/>
                <w:sz w:val="24"/>
                <w:szCs w:val="24"/>
              </w:rPr>
              <w:t xml:space="preserve">) [2024] NAHCMD </w:t>
            </w:r>
            <w:r w:rsidR="00513783">
              <w:rPr>
                <w:rFonts w:ascii="Arial" w:hAnsi="Arial" w:cs="Arial"/>
                <w:sz w:val="24"/>
                <w:szCs w:val="24"/>
              </w:rPr>
              <w:t>375</w:t>
            </w:r>
            <w:r w:rsidR="003F3D99" w:rsidRPr="00C71A4D">
              <w:rPr>
                <w:rFonts w:ascii="Arial" w:hAnsi="Arial" w:cs="Arial"/>
                <w:sz w:val="24"/>
                <w:szCs w:val="24"/>
              </w:rPr>
              <w:t xml:space="preserve"> (</w:t>
            </w:r>
            <w:r w:rsidR="00351565">
              <w:rPr>
                <w:rFonts w:ascii="Arial" w:hAnsi="Arial" w:cs="Arial"/>
                <w:sz w:val="24"/>
                <w:szCs w:val="24"/>
              </w:rPr>
              <w:t>10</w:t>
            </w:r>
            <w:r w:rsidR="00C97B0A" w:rsidRPr="00C71A4D">
              <w:rPr>
                <w:rFonts w:ascii="Arial" w:hAnsi="Arial" w:cs="Arial"/>
                <w:sz w:val="24"/>
                <w:szCs w:val="24"/>
              </w:rPr>
              <w:t xml:space="preserve"> </w:t>
            </w:r>
            <w:r w:rsidR="00351565">
              <w:rPr>
                <w:rFonts w:ascii="Arial" w:hAnsi="Arial" w:cs="Arial"/>
                <w:sz w:val="24"/>
                <w:szCs w:val="24"/>
              </w:rPr>
              <w:t>July</w:t>
            </w:r>
            <w:r w:rsidR="003F3D99" w:rsidRPr="00C71A4D">
              <w:rPr>
                <w:rFonts w:ascii="Arial" w:hAnsi="Arial" w:cs="Arial"/>
                <w:sz w:val="24"/>
                <w:szCs w:val="24"/>
              </w:rPr>
              <w:t xml:space="preserve"> 2024)</w:t>
            </w:r>
          </w:p>
        </w:tc>
      </w:tr>
      <w:tr w:rsidR="00CA7995" w:rsidRPr="00CA7995" w:rsidTr="003B0F1E">
        <w:tc>
          <w:tcPr>
            <w:tcW w:w="10632" w:type="dxa"/>
            <w:gridSpan w:val="3"/>
          </w:tcPr>
          <w:p w:rsidR="007C34C0" w:rsidRDefault="007C34C0" w:rsidP="00CB33F7">
            <w:pPr>
              <w:ind w:left="743" w:hanging="743"/>
              <w:jc w:val="both"/>
              <w:rPr>
                <w:rFonts w:ascii="Arial" w:hAnsi="Arial" w:cs="Arial"/>
                <w:b/>
                <w:sz w:val="24"/>
                <w:szCs w:val="24"/>
              </w:rPr>
            </w:pPr>
          </w:p>
          <w:p w:rsidR="00FB28CC" w:rsidRDefault="00FB28CC" w:rsidP="00FB28CC">
            <w:pPr>
              <w:spacing w:line="360" w:lineRule="auto"/>
              <w:jc w:val="both"/>
              <w:rPr>
                <w:rFonts w:ascii="Arial" w:hAnsi="Arial" w:cs="Arial"/>
                <w:sz w:val="24"/>
                <w:szCs w:val="24"/>
              </w:rPr>
            </w:pPr>
            <w:r>
              <w:rPr>
                <w:rFonts w:ascii="Arial" w:hAnsi="Arial" w:cs="Arial"/>
                <w:sz w:val="24"/>
                <w:szCs w:val="24"/>
              </w:rPr>
              <w:t xml:space="preserve">Based on these reasons, I hold that the applicant has made out </w:t>
            </w:r>
            <w:r w:rsidR="0041573E">
              <w:rPr>
                <w:rFonts w:ascii="Arial" w:hAnsi="Arial" w:cs="Arial"/>
                <w:sz w:val="24"/>
                <w:szCs w:val="24"/>
              </w:rPr>
              <w:t xml:space="preserve">a case </w:t>
            </w:r>
            <w:r>
              <w:rPr>
                <w:rFonts w:ascii="Arial" w:hAnsi="Arial" w:cs="Arial"/>
                <w:sz w:val="24"/>
                <w:szCs w:val="24"/>
              </w:rPr>
              <w:t>for the relief sought and is entitled to judgment. In the result, I order as follows:</w:t>
            </w:r>
          </w:p>
          <w:p w:rsidR="00BB28BA" w:rsidRPr="00C504FC" w:rsidRDefault="00BB28BA" w:rsidP="00667B57">
            <w:pPr>
              <w:spacing w:line="360" w:lineRule="auto"/>
              <w:ind w:left="743" w:hanging="743"/>
              <w:jc w:val="both"/>
              <w:rPr>
                <w:rFonts w:ascii="Arial" w:hAnsi="Arial" w:cs="Arial"/>
                <w:b/>
                <w:sz w:val="24"/>
                <w:szCs w:val="24"/>
              </w:rPr>
            </w:pPr>
          </w:p>
          <w:p w:rsidR="00FB28CC" w:rsidRPr="00FB28CC" w:rsidRDefault="00FB28CC" w:rsidP="00FB28CC">
            <w:pPr>
              <w:pStyle w:val="ListParagraph"/>
              <w:numPr>
                <w:ilvl w:val="0"/>
                <w:numId w:val="17"/>
              </w:numPr>
              <w:spacing w:line="360" w:lineRule="auto"/>
              <w:ind w:hanging="720"/>
              <w:jc w:val="both"/>
              <w:rPr>
                <w:rFonts w:ascii="Arial" w:hAnsi="Arial" w:cs="Arial"/>
                <w:sz w:val="24"/>
                <w:szCs w:val="24"/>
              </w:rPr>
            </w:pPr>
            <w:r w:rsidRPr="00FB28CC">
              <w:rPr>
                <w:rFonts w:ascii="Arial" w:hAnsi="Arial" w:cs="Arial"/>
                <w:sz w:val="24"/>
                <w:szCs w:val="24"/>
              </w:rPr>
              <w:t>The third respondent is joined as a party to these proceedings.</w:t>
            </w:r>
          </w:p>
          <w:p w:rsidR="00FB28CC" w:rsidRDefault="00FB28CC" w:rsidP="00FB28CC">
            <w:pPr>
              <w:spacing w:line="360" w:lineRule="auto"/>
              <w:ind w:left="743" w:hanging="743"/>
              <w:jc w:val="both"/>
              <w:rPr>
                <w:rFonts w:ascii="Arial" w:hAnsi="Arial" w:cs="Arial"/>
                <w:sz w:val="24"/>
                <w:szCs w:val="24"/>
              </w:rPr>
            </w:pPr>
          </w:p>
          <w:p w:rsidR="00FB28CC" w:rsidRDefault="00FB28CC" w:rsidP="00FB28CC">
            <w:pPr>
              <w:spacing w:line="360" w:lineRule="auto"/>
              <w:ind w:left="743" w:hanging="743"/>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decision by the Chief Justice to issue a certificate dated 16 August 2023 to </w:t>
            </w:r>
            <w:proofErr w:type="spellStart"/>
            <w:r>
              <w:rPr>
                <w:rFonts w:ascii="Arial" w:hAnsi="Arial" w:cs="Arial"/>
                <w:sz w:val="24"/>
                <w:szCs w:val="24"/>
              </w:rPr>
              <w:t>Adv</w:t>
            </w:r>
            <w:proofErr w:type="spellEnd"/>
            <w:r>
              <w:rPr>
                <w:rFonts w:ascii="Arial" w:hAnsi="Arial" w:cs="Arial"/>
                <w:sz w:val="24"/>
                <w:szCs w:val="24"/>
              </w:rPr>
              <w:t xml:space="preserve"> </w:t>
            </w:r>
            <w:proofErr w:type="spellStart"/>
            <w:r>
              <w:rPr>
                <w:rFonts w:ascii="Arial" w:hAnsi="Arial" w:cs="Arial"/>
                <w:sz w:val="24"/>
                <w:szCs w:val="24"/>
              </w:rPr>
              <w:t>Theodorus</w:t>
            </w:r>
            <w:proofErr w:type="spellEnd"/>
            <w:r>
              <w:rPr>
                <w:rFonts w:ascii="Arial" w:hAnsi="Arial" w:cs="Arial"/>
                <w:sz w:val="24"/>
                <w:szCs w:val="24"/>
              </w:rPr>
              <w:t xml:space="preserve"> Adam Barnard in terms of section 85 (2) of the Legal Practitioners Act 15 of 1995 to act in Namibia in relation to High Court case number HC-MD-CIV-ACT-CON-2021/02204 is hereby reviewed and set aside.</w:t>
            </w:r>
          </w:p>
          <w:p w:rsidR="00FB28CC" w:rsidRDefault="00FB28CC" w:rsidP="00FB28CC">
            <w:pPr>
              <w:spacing w:line="360" w:lineRule="auto"/>
              <w:ind w:left="743" w:hanging="743"/>
              <w:jc w:val="both"/>
              <w:rPr>
                <w:rFonts w:ascii="Arial" w:hAnsi="Arial" w:cs="Arial"/>
                <w:sz w:val="24"/>
                <w:szCs w:val="24"/>
              </w:rPr>
            </w:pPr>
          </w:p>
          <w:p w:rsidR="00FB28CC" w:rsidRDefault="00FB28CC" w:rsidP="00FB28CC">
            <w:pPr>
              <w:spacing w:line="360" w:lineRule="auto"/>
              <w:ind w:left="743" w:hanging="743"/>
              <w:jc w:val="both"/>
              <w:rPr>
                <w:rFonts w:ascii="Arial" w:hAnsi="Arial" w:cs="Arial"/>
                <w:sz w:val="24"/>
                <w:szCs w:val="24"/>
              </w:rPr>
            </w:pPr>
            <w:r>
              <w:rPr>
                <w:rFonts w:ascii="Arial" w:hAnsi="Arial" w:cs="Arial"/>
                <w:sz w:val="24"/>
                <w:szCs w:val="24"/>
              </w:rPr>
              <w:t>3.</w:t>
            </w:r>
            <w:r>
              <w:rPr>
                <w:rFonts w:ascii="Arial" w:hAnsi="Arial" w:cs="Arial"/>
                <w:sz w:val="24"/>
                <w:szCs w:val="24"/>
              </w:rPr>
              <w:tab/>
              <w:t>Costs of suit are granted in favour of the applicant against the first and third respondents, the one paying the other to be absolved, and such costs shall include costs of one instructing counsel and two instructed counsel and the costs are not capped in terms of rule 32 (11) of the rules of court.</w:t>
            </w:r>
          </w:p>
          <w:p w:rsidR="00FB28CC" w:rsidRDefault="00FB28CC" w:rsidP="00FB28CC">
            <w:pPr>
              <w:spacing w:line="360" w:lineRule="auto"/>
              <w:ind w:left="743" w:hanging="743"/>
              <w:jc w:val="both"/>
              <w:rPr>
                <w:rFonts w:ascii="Arial" w:hAnsi="Arial" w:cs="Arial"/>
                <w:sz w:val="24"/>
                <w:szCs w:val="24"/>
              </w:rPr>
            </w:pPr>
          </w:p>
          <w:p w:rsidR="00FB28CC" w:rsidRDefault="00FB28CC" w:rsidP="00FB28CC">
            <w:pPr>
              <w:spacing w:line="360" w:lineRule="auto"/>
              <w:ind w:left="743" w:hanging="743"/>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The applicant shall pay costs in favour of the first and third respondents in respect of the proceedings of 27 March 2024 relating to the subpoena that was issued against the Executive Director of the Ministry of Home Affairs, Immigration and Safety and Security; except that, in respect of the third respondent, it shall be disbursements necessary and reasonably incurred. The costs and disbursements under this paragraph are capped in terms of rule 32 (11) of the rules of court. </w:t>
            </w:r>
          </w:p>
          <w:p w:rsidR="00FB28CC" w:rsidRDefault="00FB28CC" w:rsidP="00FB28CC">
            <w:pPr>
              <w:spacing w:line="360" w:lineRule="auto"/>
              <w:ind w:left="743" w:hanging="743"/>
              <w:jc w:val="both"/>
              <w:rPr>
                <w:rFonts w:ascii="Arial" w:hAnsi="Arial" w:cs="Arial"/>
                <w:sz w:val="24"/>
                <w:szCs w:val="24"/>
              </w:rPr>
            </w:pPr>
          </w:p>
          <w:p w:rsidR="00FB28CC" w:rsidRDefault="00FB28CC" w:rsidP="00FB28CC">
            <w:pPr>
              <w:spacing w:line="360" w:lineRule="auto"/>
              <w:ind w:left="743" w:hanging="743"/>
              <w:jc w:val="both"/>
              <w:rPr>
                <w:rFonts w:ascii="Arial" w:hAnsi="Arial" w:cs="Arial"/>
                <w:sz w:val="24"/>
                <w:szCs w:val="24"/>
              </w:rPr>
            </w:pPr>
            <w:r>
              <w:rPr>
                <w:rFonts w:ascii="Arial" w:hAnsi="Arial" w:cs="Arial"/>
                <w:sz w:val="24"/>
                <w:szCs w:val="24"/>
              </w:rPr>
              <w:t>5.</w:t>
            </w:r>
            <w:r>
              <w:rPr>
                <w:rFonts w:ascii="Arial" w:hAnsi="Arial" w:cs="Arial"/>
                <w:sz w:val="24"/>
                <w:szCs w:val="24"/>
              </w:rPr>
              <w:tab/>
              <w:t>The interlocutory application is finalised and removed from the roll.</w:t>
            </w:r>
          </w:p>
          <w:p w:rsidR="00FB28CC" w:rsidRDefault="00FB28CC" w:rsidP="00FB28CC">
            <w:pPr>
              <w:spacing w:line="360" w:lineRule="auto"/>
              <w:ind w:left="743" w:hanging="743"/>
              <w:jc w:val="both"/>
              <w:rPr>
                <w:rFonts w:ascii="Arial" w:hAnsi="Arial" w:cs="Arial"/>
                <w:sz w:val="24"/>
                <w:szCs w:val="24"/>
              </w:rPr>
            </w:pPr>
          </w:p>
          <w:p w:rsidR="00FB28CC" w:rsidRDefault="00FB28CC" w:rsidP="00FB28CC">
            <w:pPr>
              <w:spacing w:line="360" w:lineRule="auto"/>
              <w:ind w:left="743" w:hanging="743"/>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Counsel or the parties are called upon to attend a status hearing at 08H30 on 17 July 2024 for the court to </w:t>
            </w:r>
            <w:r w:rsidRPr="00302D40">
              <w:rPr>
                <w:rFonts w:ascii="Arial" w:hAnsi="Arial" w:cs="Arial"/>
                <w:sz w:val="24"/>
                <w:szCs w:val="24"/>
              </w:rPr>
              <w:t>consider the conduct</w:t>
            </w:r>
            <w:r>
              <w:rPr>
                <w:rFonts w:ascii="Arial" w:hAnsi="Arial" w:cs="Arial"/>
                <w:sz w:val="24"/>
                <w:szCs w:val="24"/>
              </w:rPr>
              <w:t xml:space="preserve"> of the action.</w:t>
            </w:r>
          </w:p>
          <w:p w:rsidR="006864F0" w:rsidRPr="00100322" w:rsidRDefault="006864F0" w:rsidP="006864F0">
            <w:pPr>
              <w:pStyle w:val="ListParagraph"/>
              <w:spacing w:line="360" w:lineRule="auto"/>
              <w:ind w:left="743"/>
              <w:jc w:val="both"/>
              <w:rPr>
                <w:rFonts w:ascii="Arial" w:hAnsi="Arial" w:cs="Arial"/>
                <w:sz w:val="24"/>
                <w:szCs w:val="24"/>
              </w:rPr>
            </w:pPr>
          </w:p>
        </w:tc>
      </w:tr>
      <w:tr w:rsidR="00CA7995" w:rsidRPr="00CA7995" w:rsidTr="00F75046">
        <w:trPr>
          <w:trHeight w:val="558"/>
        </w:trPr>
        <w:tc>
          <w:tcPr>
            <w:tcW w:w="10632" w:type="dxa"/>
            <w:gridSpan w:val="3"/>
            <w:vAlign w:val="center"/>
          </w:tcPr>
          <w:p w:rsidR="00705A2C" w:rsidRPr="00CA7995" w:rsidRDefault="00B40844" w:rsidP="00F75046">
            <w:pPr>
              <w:tabs>
                <w:tab w:val="right" w:pos="9693"/>
              </w:tabs>
              <w:spacing w:line="360" w:lineRule="auto"/>
              <w:rPr>
                <w:rFonts w:ascii="Arial" w:hAnsi="Arial" w:cs="Arial"/>
                <w:b/>
                <w:sz w:val="24"/>
                <w:szCs w:val="24"/>
              </w:rPr>
            </w:pPr>
            <w:r w:rsidRPr="00CA7995">
              <w:rPr>
                <w:rFonts w:ascii="Arial" w:hAnsi="Arial" w:cs="Arial"/>
                <w:b/>
                <w:sz w:val="24"/>
                <w:szCs w:val="24"/>
              </w:rPr>
              <w:lastRenderedPageBreak/>
              <w:t>Following below are the reasons for the above order:</w:t>
            </w:r>
          </w:p>
        </w:tc>
      </w:tr>
      <w:tr w:rsidR="00CA7995" w:rsidRPr="00CA7995" w:rsidTr="003B0F1E">
        <w:tc>
          <w:tcPr>
            <w:tcW w:w="10632" w:type="dxa"/>
            <w:gridSpan w:val="3"/>
          </w:tcPr>
          <w:p w:rsidR="001B494D" w:rsidRPr="00AE57BB" w:rsidRDefault="00AE57BB" w:rsidP="001B494D">
            <w:pPr>
              <w:tabs>
                <w:tab w:val="left" w:pos="729"/>
              </w:tabs>
              <w:spacing w:line="360" w:lineRule="auto"/>
              <w:rPr>
                <w:rFonts w:ascii="Arial" w:hAnsi="Arial" w:cs="Arial"/>
                <w:sz w:val="24"/>
                <w:szCs w:val="24"/>
              </w:rPr>
            </w:pPr>
            <w:r w:rsidRPr="00193C9D">
              <w:rPr>
                <w:rFonts w:ascii="Arial" w:hAnsi="Arial" w:cs="Arial"/>
                <w:sz w:val="24"/>
                <w:szCs w:val="24"/>
              </w:rPr>
              <w:t>PARKER AJ</w:t>
            </w:r>
            <w:r>
              <w:rPr>
                <w:rFonts w:ascii="Arial" w:hAnsi="Arial" w:cs="Arial"/>
                <w:sz w:val="24"/>
                <w:szCs w:val="24"/>
              </w:rPr>
              <w:t>:</w:t>
            </w:r>
          </w:p>
          <w:p w:rsidR="00AE57BB" w:rsidRPr="006979B3" w:rsidRDefault="00AE57BB" w:rsidP="001B494D">
            <w:pPr>
              <w:tabs>
                <w:tab w:val="left" w:pos="729"/>
              </w:tabs>
              <w:spacing w:line="360" w:lineRule="auto"/>
              <w:rPr>
                <w:rFonts w:ascii="Arial" w:hAnsi="Arial" w:cs="Arial"/>
                <w:sz w:val="24"/>
                <w:szCs w:val="24"/>
              </w:rPr>
            </w:pPr>
          </w:p>
          <w:p w:rsidR="008D4A36" w:rsidRPr="007D09B2" w:rsidRDefault="00B40844" w:rsidP="008D4A36">
            <w:pPr>
              <w:spacing w:line="360" w:lineRule="auto"/>
              <w:jc w:val="both"/>
              <w:rPr>
                <w:rFonts w:ascii="Arial" w:hAnsi="Arial" w:cs="Arial"/>
                <w:sz w:val="24"/>
                <w:szCs w:val="24"/>
              </w:rPr>
            </w:pPr>
            <w:r w:rsidRPr="006979B3">
              <w:rPr>
                <w:rFonts w:ascii="Arial" w:hAnsi="Arial" w:cs="Arial"/>
                <w:sz w:val="24"/>
                <w:szCs w:val="24"/>
              </w:rPr>
              <w:t>[1]</w:t>
            </w:r>
            <w:r w:rsidRPr="006979B3">
              <w:rPr>
                <w:rFonts w:ascii="Arial" w:hAnsi="Arial" w:cs="Arial"/>
                <w:sz w:val="24"/>
                <w:szCs w:val="24"/>
              </w:rPr>
              <w:tab/>
            </w:r>
            <w:r w:rsidR="008D4A36">
              <w:rPr>
                <w:rFonts w:ascii="Arial" w:hAnsi="Arial" w:cs="Arial"/>
                <w:sz w:val="24"/>
                <w:szCs w:val="24"/>
              </w:rPr>
              <w:t xml:space="preserve">The court is seized with an action proceeding. The trial of the action is pending. In the course of events, the applicant (plaintiff) has brought an application for the relief set out in the notice of motion. Mr Heathcote SC (with him Mr </w:t>
            </w:r>
            <w:r w:rsidR="00E10B88">
              <w:rPr>
                <w:rFonts w:ascii="Arial" w:hAnsi="Arial" w:cs="Arial"/>
                <w:sz w:val="24"/>
                <w:szCs w:val="24"/>
              </w:rPr>
              <w:t>Dicks</w:t>
            </w:r>
            <w:r w:rsidR="008D4A36">
              <w:rPr>
                <w:rFonts w:ascii="Arial" w:hAnsi="Arial" w:cs="Arial"/>
                <w:sz w:val="24"/>
                <w:szCs w:val="24"/>
              </w:rPr>
              <w:t xml:space="preserve">) represents the applicant. The first respondent (the defendant) and the third respondent have moved to reject the application, and are represented by Mr Barnard (the third respondent). The second respondent has not participated in these proceedings. I shall, therefore, refer to the </w:t>
            </w:r>
            <w:proofErr w:type="spellStart"/>
            <w:r w:rsidR="008D4A36">
              <w:rPr>
                <w:rFonts w:ascii="Arial" w:hAnsi="Arial" w:cs="Arial"/>
                <w:sz w:val="24"/>
                <w:szCs w:val="24"/>
              </w:rPr>
              <w:t>opposers</w:t>
            </w:r>
            <w:proofErr w:type="spellEnd"/>
            <w:r w:rsidR="008D4A36">
              <w:rPr>
                <w:rFonts w:ascii="Arial" w:hAnsi="Arial" w:cs="Arial"/>
                <w:sz w:val="24"/>
                <w:szCs w:val="24"/>
              </w:rPr>
              <w:t xml:space="preserve"> of the application as the respondents.</w:t>
            </w:r>
          </w:p>
          <w:p w:rsidR="008D4A36" w:rsidRPr="007D09B2"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sidRPr="007D09B2">
              <w:rPr>
                <w:rFonts w:ascii="Arial" w:hAnsi="Arial" w:cs="Arial"/>
                <w:sz w:val="24"/>
                <w:szCs w:val="24"/>
              </w:rPr>
              <w:lastRenderedPageBreak/>
              <w:t>[2]</w:t>
            </w:r>
            <w:r w:rsidRPr="007D09B2">
              <w:rPr>
                <w:rFonts w:ascii="Arial" w:hAnsi="Arial" w:cs="Arial"/>
                <w:sz w:val="24"/>
                <w:szCs w:val="24"/>
              </w:rPr>
              <w:tab/>
            </w:r>
            <w:r>
              <w:rPr>
                <w:rFonts w:ascii="Arial" w:hAnsi="Arial" w:cs="Arial"/>
                <w:sz w:val="24"/>
                <w:szCs w:val="24"/>
              </w:rPr>
              <w:t>The application relates to the issuance of a certificate by the Honourable Chief Justice in terms of s 85 of the Legal Practitioners Act 15 of 1995 (‘the LPA’) (‘the s 85 certificate’). The issuance of the certificate is the impugned decision.</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sidRPr="007D09B2">
              <w:rPr>
                <w:rFonts w:ascii="Arial" w:hAnsi="Arial" w:cs="Arial"/>
                <w:sz w:val="24"/>
                <w:szCs w:val="24"/>
              </w:rPr>
              <w:t>[3]</w:t>
            </w:r>
            <w:r w:rsidRPr="007D09B2">
              <w:rPr>
                <w:rFonts w:ascii="Arial" w:hAnsi="Arial" w:cs="Arial"/>
                <w:sz w:val="24"/>
                <w:szCs w:val="24"/>
              </w:rPr>
              <w:tab/>
            </w:r>
            <w:r>
              <w:rPr>
                <w:rFonts w:ascii="Arial" w:hAnsi="Arial" w:cs="Arial"/>
                <w:sz w:val="24"/>
                <w:szCs w:val="24"/>
              </w:rPr>
              <w:t xml:space="preserve">From the outset, I should say the following to put to bed any seeming dispute as to the nature of the application: First, the application is an interlocutory application upon the measurement of </w:t>
            </w:r>
            <w:r>
              <w:rPr>
                <w:rFonts w:ascii="Arial" w:hAnsi="Arial" w:cs="Arial"/>
                <w:i/>
                <w:iCs/>
                <w:sz w:val="24"/>
                <w:szCs w:val="24"/>
              </w:rPr>
              <w:t xml:space="preserve">Di </w:t>
            </w:r>
            <w:proofErr w:type="spellStart"/>
            <w:r>
              <w:rPr>
                <w:rFonts w:ascii="Arial" w:hAnsi="Arial" w:cs="Arial"/>
                <w:i/>
                <w:iCs/>
                <w:sz w:val="24"/>
                <w:szCs w:val="24"/>
              </w:rPr>
              <w:t>Savino</w:t>
            </w:r>
            <w:proofErr w:type="spellEnd"/>
            <w:r>
              <w:rPr>
                <w:rFonts w:ascii="Arial" w:hAnsi="Arial" w:cs="Arial"/>
                <w:i/>
                <w:iCs/>
                <w:sz w:val="24"/>
                <w:szCs w:val="24"/>
              </w:rPr>
              <w:t xml:space="preserve"> v Nedbank Namibia Ltd</w:t>
            </w:r>
            <w:r>
              <w:rPr>
                <w:rFonts w:ascii="Arial" w:hAnsi="Arial" w:cs="Arial"/>
                <w:sz w:val="24"/>
                <w:szCs w:val="24"/>
              </w:rPr>
              <w:t>.</w:t>
            </w:r>
            <w:r>
              <w:rPr>
                <w:rStyle w:val="FootnoteReference"/>
                <w:rFonts w:ascii="Arial" w:hAnsi="Arial" w:cs="Arial"/>
                <w:sz w:val="24"/>
                <w:szCs w:val="24"/>
              </w:rPr>
              <w:footnoteReference w:id="1"/>
            </w:r>
            <w:r>
              <w:rPr>
                <w:rFonts w:ascii="Arial" w:hAnsi="Arial" w:cs="Arial"/>
                <w:sz w:val="24"/>
                <w:szCs w:val="24"/>
              </w:rPr>
              <w:t xml:space="preserve"> An order made will not be definitive of the rights of the parties in the action. It is interlocutory, that is, preliminary to, a</w:t>
            </w:r>
            <w:r w:rsidR="0041573E">
              <w:rPr>
                <w:rFonts w:ascii="Arial" w:hAnsi="Arial" w:cs="Arial"/>
                <w:sz w:val="24"/>
                <w:szCs w:val="24"/>
              </w:rPr>
              <w:t>n</w:t>
            </w:r>
            <w:r>
              <w:rPr>
                <w:rFonts w:ascii="Arial" w:hAnsi="Arial" w:cs="Arial"/>
                <w:sz w:val="24"/>
                <w:szCs w:val="24"/>
              </w:rPr>
              <w:t xml:space="preserve">d connected with, the trial of the action. That it is an interlocutory application is also the understanding of the respondents as can be gathered from the papers. Second, being an interlocutory application, </w:t>
            </w:r>
            <w:r w:rsidRPr="007069D3">
              <w:rPr>
                <w:rFonts w:ascii="Arial" w:hAnsi="Arial" w:cs="Arial"/>
                <w:sz w:val="24"/>
                <w:szCs w:val="24"/>
              </w:rPr>
              <w:t xml:space="preserve">I do not think it was </w:t>
            </w:r>
            <w:r>
              <w:rPr>
                <w:rFonts w:ascii="Arial" w:hAnsi="Arial" w:cs="Arial"/>
                <w:sz w:val="24"/>
                <w:szCs w:val="24"/>
              </w:rPr>
              <w:t>necessary or required to be brought in terms of rule 65 or rule 76 of the rules of court.</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Consequently, I am satisfied that the application is properly before the court. The conclusion in para [3] above lead me to the determination of another preliminary point raised by the defendants concerning rule 32 (9) and (10) of the rules of court.</w:t>
            </w:r>
          </w:p>
          <w:p w:rsidR="008D4A36" w:rsidRDefault="008D4A36" w:rsidP="008D4A36">
            <w:pPr>
              <w:spacing w:line="360" w:lineRule="auto"/>
              <w:ind w:left="720" w:hanging="720"/>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Granted, rule 32 (9) is helpful and it serves an effective purpose. It has served the court and parties well. However, we should not implement the provisions of rule 32 (9) mechanically as to lose its usefulness and purpose. The rule 32 (9) process is an essential part of the process of attempting to resolve matters amicably between the parties without the approval of the managing judge.</w:t>
            </w:r>
            <w:r>
              <w:rPr>
                <w:rStyle w:val="FootnoteReference"/>
                <w:rFonts w:ascii="Arial" w:hAnsi="Arial" w:cs="Arial"/>
                <w:sz w:val="24"/>
                <w:szCs w:val="24"/>
              </w:rPr>
              <w:footnoteReference w:id="2"/>
            </w:r>
            <w:r>
              <w:rPr>
                <w:rFonts w:ascii="Arial" w:hAnsi="Arial" w:cs="Arial"/>
                <w:sz w:val="24"/>
                <w:szCs w:val="24"/>
              </w:rPr>
              <w:t xml:space="preserve"> The upshot is that where the matter in question cannot be resolved amicably by the parties without the approval of the managing judge, as the instant matter is, it is an </w:t>
            </w:r>
            <w:proofErr w:type="spellStart"/>
            <w:r>
              <w:rPr>
                <w:rFonts w:ascii="Arial" w:hAnsi="Arial" w:cs="Arial"/>
                <w:sz w:val="24"/>
                <w:szCs w:val="24"/>
              </w:rPr>
              <w:t>inutility</w:t>
            </w:r>
            <w:proofErr w:type="spellEnd"/>
            <w:r>
              <w:rPr>
                <w:rFonts w:ascii="Arial" w:hAnsi="Arial" w:cs="Arial"/>
                <w:sz w:val="24"/>
                <w:szCs w:val="24"/>
              </w:rPr>
              <w:t xml:space="preserve"> to pursue a rule 32 (9) engagement. The parties could not agree as to the interpretation and application of a statutory provision like s 85 (2) of the LPA. Only the court is entitled and competent to do that. Thus, an</w:t>
            </w:r>
            <w:r w:rsidR="0041573E">
              <w:rPr>
                <w:rFonts w:ascii="Arial" w:hAnsi="Arial" w:cs="Arial"/>
                <w:sz w:val="24"/>
                <w:szCs w:val="24"/>
              </w:rPr>
              <w:t>y</w:t>
            </w:r>
            <w:r>
              <w:rPr>
                <w:rFonts w:ascii="Arial" w:hAnsi="Arial" w:cs="Arial"/>
                <w:sz w:val="24"/>
                <w:szCs w:val="24"/>
              </w:rPr>
              <w:t xml:space="preserve"> judicial insistence that such a matter, as the instant matter, be subjected to a rule 32 (9) process would be otiose and labour lost and, indeed counterproductive. Accordingly, I find that the authorities on rule 32 (9) and (10) referred to the court by Mr Barnard are distinguishable on the facts and are, in any way, of no assistance on the point under consideration.</w:t>
            </w:r>
          </w:p>
          <w:p w:rsidR="008D4A36" w:rsidRDefault="008D4A36" w:rsidP="008D4A36">
            <w:pPr>
              <w:spacing w:line="360" w:lineRule="auto"/>
              <w:ind w:left="720" w:hanging="720"/>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Furthermore, the respondents have raised the point that there has been a delay in bringing the application. Mr Barnard submitted that the application for the s 85 certificate was made on 15 </w:t>
            </w:r>
            <w:r>
              <w:rPr>
                <w:rFonts w:ascii="Arial" w:hAnsi="Arial" w:cs="Arial"/>
                <w:sz w:val="24"/>
                <w:szCs w:val="24"/>
              </w:rPr>
              <w:lastRenderedPageBreak/>
              <w:t xml:space="preserve">August 2023 and was granted on 16 August 2023, and yet the present application was brought on 11 April 2024. Therefore, according to Mr Barnard, there has been an unreasonable delay in the institution of the review application. </w:t>
            </w:r>
          </w:p>
          <w:p w:rsidR="008D4A36" w:rsidRDefault="008D4A36" w:rsidP="008D4A36">
            <w:pPr>
              <w:spacing w:line="360" w:lineRule="auto"/>
              <w:ind w:left="720" w:hanging="720"/>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The approach in dealing with such point was last settled by the Supreme Court in </w:t>
            </w:r>
            <w:proofErr w:type="spellStart"/>
            <w:r>
              <w:rPr>
                <w:rFonts w:ascii="Arial" w:hAnsi="Arial" w:cs="Arial"/>
                <w:i/>
                <w:iCs/>
                <w:sz w:val="24"/>
                <w:szCs w:val="24"/>
              </w:rPr>
              <w:t>Keya</w:t>
            </w:r>
            <w:proofErr w:type="spellEnd"/>
            <w:r>
              <w:rPr>
                <w:rFonts w:ascii="Arial" w:hAnsi="Arial" w:cs="Arial"/>
                <w:i/>
                <w:iCs/>
                <w:sz w:val="24"/>
                <w:szCs w:val="24"/>
              </w:rPr>
              <w:t xml:space="preserve"> v Chief of Defence Force and Others</w:t>
            </w:r>
            <w:r>
              <w:rPr>
                <w:rFonts w:ascii="Arial" w:hAnsi="Arial" w:cs="Arial"/>
                <w:sz w:val="24"/>
                <w:szCs w:val="24"/>
              </w:rPr>
              <w:t>.</w:t>
            </w:r>
            <w:r>
              <w:rPr>
                <w:rStyle w:val="FootnoteReference"/>
                <w:rFonts w:ascii="Arial" w:hAnsi="Arial" w:cs="Arial"/>
                <w:sz w:val="24"/>
                <w:szCs w:val="24"/>
              </w:rPr>
              <w:footnoteReference w:id="3"/>
            </w:r>
            <w:r>
              <w:rPr>
                <w:rFonts w:ascii="Arial" w:hAnsi="Arial" w:cs="Arial"/>
                <w:sz w:val="24"/>
                <w:szCs w:val="24"/>
              </w:rPr>
              <w:t xml:space="preserve"> There, it was said that the question whether a litigant has delayed unreasonably in instituting proceedings involves two enquiries: the first is whether the time it took the litigant to institute proceedings was unreasonable. If the court conclude</w:t>
            </w:r>
            <w:r w:rsidR="0041573E">
              <w:rPr>
                <w:rFonts w:ascii="Arial" w:hAnsi="Arial" w:cs="Arial"/>
                <w:sz w:val="24"/>
                <w:szCs w:val="24"/>
              </w:rPr>
              <w:t>s</w:t>
            </w:r>
            <w:r>
              <w:rPr>
                <w:rFonts w:ascii="Arial" w:hAnsi="Arial" w:cs="Arial"/>
                <w:sz w:val="24"/>
                <w:szCs w:val="24"/>
              </w:rPr>
              <w:t xml:space="preserve"> that the delay was unreasonable, then the question arises whether the court should, in an exercise of its discretion, grant condonation for the unreasonable delay.</w:t>
            </w:r>
          </w:p>
          <w:p w:rsidR="008D4A36" w:rsidRDefault="008D4A36" w:rsidP="008D4A36">
            <w:pPr>
              <w:spacing w:line="360" w:lineRule="auto"/>
              <w:ind w:left="720" w:hanging="720"/>
              <w:jc w:val="both"/>
              <w:rPr>
                <w:rFonts w:ascii="Arial" w:hAnsi="Arial" w:cs="Arial"/>
                <w:sz w:val="24"/>
                <w:szCs w:val="24"/>
              </w:rPr>
            </w:pPr>
          </w:p>
          <w:p w:rsidR="008D4A36" w:rsidRPr="00EA3B6A" w:rsidRDefault="008D4A36" w:rsidP="008D4A36">
            <w:pPr>
              <w:spacing w:line="36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An important consideration is this: ‘In deciding to condone an unreasonable delay, the court will consider whether the public interest in the finality of administrative decisions is outweighed in a particular case by other considerations’.</w:t>
            </w:r>
            <w:r>
              <w:rPr>
                <w:rStyle w:val="FootnoteReference"/>
                <w:rFonts w:ascii="Arial" w:hAnsi="Arial" w:cs="Arial"/>
                <w:sz w:val="24"/>
                <w:szCs w:val="24"/>
              </w:rPr>
              <w:footnoteReference w:id="4"/>
            </w:r>
          </w:p>
          <w:p w:rsidR="008D4A36" w:rsidRDefault="008D4A36" w:rsidP="008D4A36">
            <w:pPr>
              <w:spacing w:line="360" w:lineRule="auto"/>
              <w:ind w:left="720" w:hanging="720"/>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The applicant has put forth reasons for bringing the application some eight months after the issuing of the s 85 certificate. The reasons include the time it took to get hold of the immigration status of Mr Barnard and to seek the leave of the Honourable Deputy Chief Justice to cite the Honourable Chief Justice. The application to the Deputy Chief Justice was made on 22 March 2024 and leave was obtained on 3 April 2024.</w:t>
            </w:r>
          </w:p>
          <w:p w:rsidR="008D4A36" w:rsidRDefault="008D4A36" w:rsidP="008D4A36">
            <w:pPr>
              <w:spacing w:line="360" w:lineRule="auto"/>
              <w:ind w:left="720" w:hanging="720"/>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[10]</w:t>
            </w:r>
            <w:r>
              <w:rPr>
                <w:rFonts w:ascii="Arial" w:hAnsi="Arial" w:cs="Arial"/>
                <w:sz w:val="24"/>
                <w:szCs w:val="24"/>
              </w:rPr>
              <w:tab/>
              <w:t>I have considered the applicant’s explanation for the delay in bringing the application. I think the delay is unreasonable. Nevertheless, in the exercise of my discretion, I condone the unreasonable delay in bringing the application for reasons that follow in the succeeding paragraph [11].</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The issue at play in the instant mater concerns ‘the rule of law and the principle of legality enshrined in Art 1 of the Constitution and upon which our constitutional democracy is based,</w:t>
            </w:r>
            <w:r>
              <w:rPr>
                <w:rStyle w:val="FootnoteReference"/>
                <w:rFonts w:ascii="Arial" w:hAnsi="Arial" w:cs="Arial"/>
                <w:sz w:val="24"/>
                <w:szCs w:val="24"/>
              </w:rPr>
              <w:footnoteReference w:id="5"/>
            </w:r>
            <w:r>
              <w:rPr>
                <w:rFonts w:ascii="Arial" w:hAnsi="Arial" w:cs="Arial"/>
                <w:sz w:val="24"/>
                <w:szCs w:val="24"/>
              </w:rPr>
              <w:t xml:space="preserve"> as well as the </w:t>
            </w:r>
            <w:r>
              <w:rPr>
                <w:rFonts w:ascii="Arial" w:hAnsi="Arial" w:cs="Arial"/>
                <w:i/>
                <w:iCs/>
                <w:sz w:val="24"/>
                <w:szCs w:val="24"/>
              </w:rPr>
              <w:t>OUDEKRAAL</w:t>
            </w:r>
            <w:r>
              <w:rPr>
                <w:rFonts w:ascii="Arial" w:hAnsi="Arial" w:cs="Arial"/>
                <w:sz w:val="24"/>
                <w:szCs w:val="24"/>
              </w:rPr>
              <w:t xml:space="preserve"> principle that ‘even an unlawful administrative act is capable of producing </w:t>
            </w:r>
            <w:r>
              <w:rPr>
                <w:rFonts w:ascii="Arial" w:hAnsi="Arial" w:cs="Arial"/>
                <w:sz w:val="24"/>
                <w:szCs w:val="24"/>
              </w:rPr>
              <w:lastRenderedPageBreak/>
              <w:t>legally valid consequences for so long as the unlawful act is not set aside’.</w:t>
            </w:r>
            <w:r>
              <w:rPr>
                <w:rStyle w:val="FootnoteReference"/>
                <w:rFonts w:ascii="Arial" w:hAnsi="Arial" w:cs="Arial"/>
                <w:sz w:val="24"/>
                <w:szCs w:val="24"/>
              </w:rPr>
              <w:footnoteReference w:id="6"/>
            </w:r>
            <w:r>
              <w:rPr>
                <w:rFonts w:ascii="Arial" w:hAnsi="Arial" w:cs="Arial"/>
                <w:sz w:val="24"/>
                <w:szCs w:val="24"/>
              </w:rPr>
              <w:t xml:space="preserve"> The impugned decision is plainly unlawful, as I demonstrate below. To leave such clearly unlawful decision to remain intact without setting it aside would not conduce to rule of law and legality. It is, therefore, with firm confidence that I hold that ‘the public interest in the finality of administrative decisions’ is far outweighed in this case by the foregoing considerations. It is for those considerations that I condone the unreasonable delay in bringing the application.</w:t>
            </w:r>
          </w:p>
          <w:p w:rsidR="008D4A36" w:rsidRDefault="008D4A36" w:rsidP="008D4A36">
            <w:pPr>
              <w:spacing w:line="360" w:lineRule="auto"/>
              <w:ind w:left="720" w:hanging="720"/>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I have rejected the respondents’ preliminary objections. I now proceed to consider the challenge to the lawfulness and validity of the impugned decision by the Honourable Chief Justice.</w:t>
            </w:r>
          </w:p>
          <w:p w:rsidR="008D4A36" w:rsidRDefault="008D4A36" w:rsidP="008D4A36">
            <w:pPr>
              <w:spacing w:line="360" w:lineRule="auto"/>
              <w:ind w:left="720" w:hanging="720"/>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t xml:space="preserve">The first crucial determination I make is this. His Lordship the Chief Justice’s decision in issuing </w:t>
            </w:r>
            <w:r w:rsidR="0041573E">
              <w:rPr>
                <w:rFonts w:ascii="Arial" w:hAnsi="Arial" w:cs="Arial"/>
                <w:sz w:val="24"/>
                <w:szCs w:val="24"/>
              </w:rPr>
              <w:t>t</w:t>
            </w:r>
            <w:r>
              <w:rPr>
                <w:rFonts w:ascii="Arial" w:hAnsi="Arial" w:cs="Arial"/>
                <w:sz w:val="24"/>
                <w:szCs w:val="24"/>
              </w:rPr>
              <w:t>he s 85 certificate is an administrative act through and through, unconnected with the judicial functions of the Supreme Court under article 79 of the Constitution. It is an act done in the implementation of legislative provisions pursuant to administering the LPA. The Chief Justice’s power therein is traceable to that Act,</w:t>
            </w:r>
            <w:r>
              <w:rPr>
                <w:rStyle w:val="FootnoteReference"/>
                <w:rFonts w:ascii="Arial" w:hAnsi="Arial" w:cs="Arial"/>
                <w:sz w:val="24"/>
                <w:szCs w:val="24"/>
              </w:rPr>
              <w:footnoteReference w:id="7"/>
            </w:r>
            <w:r>
              <w:rPr>
                <w:rFonts w:ascii="Arial" w:hAnsi="Arial" w:cs="Arial"/>
                <w:sz w:val="24"/>
                <w:szCs w:val="24"/>
              </w:rPr>
              <w:t xml:space="preserve"> and </w:t>
            </w:r>
            <w:r>
              <w:rPr>
                <w:rFonts w:ascii="Arial" w:hAnsi="Arial" w:cs="Arial"/>
                <w:i/>
                <w:iCs/>
                <w:sz w:val="24"/>
                <w:szCs w:val="24"/>
              </w:rPr>
              <w:t>a fortiori</w:t>
            </w:r>
            <w:r>
              <w:rPr>
                <w:rFonts w:ascii="Arial" w:hAnsi="Arial" w:cs="Arial"/>
                <w:sz w:val="24"/>
                <w:szCs w:val="24"/>
              </w:rPr>
              <w:t xml:space="preserve"> Chief Justice (and in his or her absence, the Deputy Chief Justice) alone is the sole repository of the legislative power. The Supreme Court is not the repository of the said legislative power. In this jurisdiction, it must be said in </w:t>
            </w:r>
            <w:proofErr w:type="spellStart"/>
            <w:r>
              <w:rPr>
                <w:rFonts w:ascii="Arial" w:hAnsi="Arial" w:cs="Arial"/>
                <w:sz w:val="24"/>
                <w:szCs w:val="24"/>
              </w:rPr>
              <w:t>capitalities</w:t>
            </w:r>
            <w:proofErr w:type="spellEnd"/>
            <w:r>
              <w:rPr>
                <w:rFonts w:ascii="Arial" w:hAnsi="Arial" w:cs="Arial"/>
                <w:sz w:val="24"/>
                <w:szCs w:val="24"/>
              </w:rPr>
              <w:t>, ‘Supreme Court’ is not synonymous with ‘Chief Justice’.</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t xml:space="preserve">Therefore, </w:t>
            </w:r>
            <w:r w:rsidRPr="005F63F4">
              <w:rPr>
                <w:rFonts w:ascii="Arial" w:hAnsi="Arial" w:cs="Arial"/>
                <w:i/>
                <w:iCs/>
                <w:sz w:val="24"/>
                <w:szCs w:val="24"/>
              </w:rPr>
              <w:t>pace</w:t>
            </w:r>
            <w:r>
              <w:rPr>
                <w:rFonts w:ascii="Arial" w:hAnsi="Arial" w:cs="Arial"/>
                <w:sz w:val="24"/>
                <w:szCs w:val="24"/>
              </w:rPr>
              <w:t xml:space="preserve"> Mr Barnard, the impugned decision cannot, on any pan of legal scales and upon any legal imagination be a decision of the Supreme Court. As Mr Heathcote submitted, the Supreme Court has no original jurisdiction, except in the limited situation where a matter is referred to it for decision by the Attorney General in terms of article 79 (2) of the Constitution and with regard to Presidential electoral challenges under s 172 of the Electoral Act 5 of 2014.</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t xml:space="preserve">From the foregoing, the conclusion is inescapable that the granting of </w:t>
            </w:r>
            <w:proofErr w:type="gramStart"/>
            <w:r>
              <w:rPr>
                <w:rFonts w:ascii="Arial" w:hAnsi="Arial" w:cs="Arial"/>
                <w:sz w:val="24"/>
                <w:szCs w:val="24"/>
              </w:rPr>
              <w:t>a</w:t>
            </w:r>
            <w:proofErr w:type="gramEnd"/>
            <w:r>
              <w:rPr>
                <w:rFonts w:ascii="Arial" w:hAnsi="Arial" w:cs="Arial"/>
                <w:sz w:val="24"/>
                <w:szCs w:val="24"/>
              </w:rPr>
              <w:t xml:space="preserve"> s</w:t>
            </w:r>
            <w:r w:rsidR="0041573E">
              <w:rPr>
                <w:rFonts w:ascii="Arial" w:hAnsi="Arial" w:cs="Arial"/>
                <w:sz w:val="24"/>
                <w:szCs w:val="24"/>
              </w:rPr>
              <w:t xml:space="preserve"> </w:t>
            </w:r>
            <w:r>
              <w:rPr>
                <w:rFonts w:ascii="Arial" w:hAnsi="Arial" w:cs="Arial"/>
                <w:sz w:val="24"/>
                <w:szCs w:val="24"/>
              </w:rPr>
              <w:t xml:space="preserve">85 certificate by the Chief Justice is </w:t>
            </w:r>
            <w:r w:rsidR="0041573E">
              <w:rPr>
                <w:rFonts w:ascii="Arial" w:hAnsi="Arial" w:cs="Arial"/>
                <w:sz w:val="24"/>
                <w:szCs w:val="24"/>
              </w:rPr>
              <w:t xml:space="preserve">an </w:t>
            </w:r>
            <w:r>
              <w:rPr>
                <w:rFonts w:ascii="Arial" w:hAnsi="Arial" w:cs="Arial"/>
                <w:sz w:val="24"/>
                <w:szCs w:val="24"/>
              </w:rPr>
              <w:t>administrative act by the Chief Justice and not a decision of the Supreme Court, as contended by Mr Barnard.</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lastRenderedPageBreak/>
              <w:t>[16]</w:t>
            </w:r>
            <w:r>
              <w:rPr>
                <w:rFonts w:ascii="Arial" w:hAnsi="Arial" w:cs="Arial"/>
                <w:sz w:val="24"/>
                <w:szCs w:val="24"/>
              </w:rPr>
              <w:tab/>
              <w:t xml:space="preserve">It follows inevitably that the word ‘application’ in the grammatical clause ‘upon application made’ in s 85 of the LPA does not mean an application falling ‘within the ambit of s 17 of the Supreme Court Act 15 of 1990’, as Mr Barnard submitted. If it was the intention of the Legislature that an application for </w:t>
            </w:r>
            <w:proofErr w:type="gramStart"/>
            <w:r>
              <w:rPr>
                <w:rFonts w:ascii="Arial" w:hAnsi="Arial" w:cs="Arial"/>
                <w:sz w:val="24"/>
                <w:szCs w:val="24"/>
              </w:rPr>
              <w:t>a</w:t>
            </w:r>
            <w:proofErr w:type="gramEnd"/>
            <w:r>
              <w:rPr>
                <w:rFonts w:ascii="Arial" w:hAnsi="Arial" w:cs="Arial"/>
                <w:sz w:val="24"/>
                <w:szCs w:val="24"/>
              </w:rPr>
              <w:t xml:space="preserve"> s 85 certificate be made to the Supreme Court, it would have made such of its intention known by express provisions as it has done with regard to an application to be admitted as a legal practitioner in terms of s 4(1) of the LPA. </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[17]</w:t>
            </w:r>
            <w:r>
              <w:rPr>
                <w:rFonts w:ascii="Arial" w:hAnsi="Arial" w:cs="Arial"/>
                <w:sz w:val="24"/>
                <w:szCs w:val="24"/>
              </w:rPr>
              <w:tab/>
              <w:t>The Supreme Court Act 15 of 1990 provides:</w:t>
            </w:r>
          </w:p>
          <w:p w:rsidR="008D4A36" w:rsidRDefault="008D4A36" w:rsidP="008D4A36">
            <w:pPr>
              <w:spacing w:line="360" w:lineRule="auto"/>
              <w:jc w:val="both"/>
              <w:rPr>
                <w:rFonts w:ascii="Arial" w:hAnsi="Arial" w:cs="Arial"/>
                <w:sz w:val="24"/>
                <w:szCs w:val="24"/>
              </w:rPr>
            </w:pPr>
            <w:r>
              <w:rPr>
                <w:rFonts w:ascii="Arial" w:hAnsi="Arial" w:cs="Arial"/>
                <w:sz w:val="24"/>
                <w:szCs w:val="24"/>
              </w:rPr>
              <w:tab/>
            </w:r>
          </w:p>
          <w:p w:rsidR="008D4A36" w:rsidRPr="00D9153E" w:rsidRDefault="008D4A36" w:rsidP="008D4A36">
            <w:pPr>
              <w:spacing w:line="360" w:lineRule="auto"/>
              <w:jc w:val="both"/>
              <w:rPr>
                <w:rFonts w:ascii="Arial" w:hAnsi="Arial" w:cs="Arial"/>
              </w:rPr>
            </w:pPr>
            <w:r w:rsidRPr="00D9153E">
              <w:rPr>
                <w:rFonts w:ascii="Arial" w:hAnsi="Arial" w:cs="Arial"/>
              </w:rPr>
              <w:tab/>
              <w:t>‘</w:t>
            </w:r>
            <w:r w:rsidRPr="00D9153E">
              <w:rPr>
                <w:rFonts w:ascii="Arial" w:hAnsi="Arial" w:cs="Arial"/>
                <w:b/>
                <w:bCs/>
              </w:rPr>
              <w:t>Finality of decisions of Supreme Court</w:t>
            </w:r>
            <w:r w:rsidRPr="00D9153E">
              <w:rPr>
                <w:rFonts w:ascii="Arial" w:hAnsi="Arial" w:cs="Arial"/>
              </w:rPr>
              <w:t xml:space="preserve"> </w:t>
            </w:r>
          </w:p>
          <w:p w:rsidR="008D4A36" w:rsidRDefault="008D4A36" w:rsidP="008D4A36">
            <w:pPr>
              <w:spacing w:line="360" w:lineRule="auto"/>
              <w:jc w:val="both"/>
              <w:rPr>
                <w:rFonts w:ascii="Arial" w:hAnsi="Arial" w:cs="Arial"/>
              </w:rPr>
            </w:pPr>
            <w:r w:rsidRPr="00D9153E">
              <w:rPr>
                <w:rFonts w:ascii="Arial" w:hAnsi="Arial" w:cs="Arial"/>
              </w:rPr>
              <w:tab/>
              <w:t>17</w:t>
            </w:r>
            <w:r w:rsidRPr="00D9153E">
              <w:rPr>
                <w:rFonts w:ascii="Arial" w:hAnsi="Arial" w:cs="Arial"/>
              </w:rPr>
              <w:tab/>
              <w:t>(1) There shall be no appeal from, or review of, any judgment or order made by the Supreme Court.’</w:t>
            </w:r>
          </w:p>
          <w:p w:rsidR="00FB28CC" w:rsidRPr="00D9153E" w:rsidRDefault="00FB28CC" w:rsidP="008D4A36">
            <w:pPr>
              <w:spacing w:line="360" w:lineRule="auto"/>
              <w:jc w:val="both"/>
              <w:rPr>
                <w:rFonts w:ascii="Arial" w:hAnsi="Arial" w:cs="Arial"/>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[18]</w:t>
            </w:r>
            <w:r>
              <w:rPr>
                <w:rFonts w:ascii="Arial" w:hAnsi="Arial" w:cs="Arial"/>
                <w:sz w:val="24"/>
                <w:szCs w:val="24"/>
              </w:rPr>
              <w:tab/>
              <w:t>Section 17 (1), which Mr Barnard is so much enamoured with, does not provide for the finality of the administrative decisions of the administrative acts of the Chief Justice but the finality of the decisions of the Supreme Court. Nor would such a provision be Constitution compliant. Ouster clauses making administrative decisions by public authorities final and unassailable by the courts is not part of our law. It would be offensive of article 18 of the Constitution. What is more, in Namibia, ‘Chief Justice’ is not synonymous with ‘Supreme Court’, as aforesaid.</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[19]</w:t>
            </w:r>
            <w:r>
              <w:rPr>
                <w:rFonts w:ascii="Arial" w:hAnsi="Arial" w:cs="Arial"/>
                <w:sz w:val="24"/>
                <w:szCs w:val="24"/>
              </w:rPr>
              <w:tab/>
              <w:t xml:space="preserve">The analysis and conclusions </w:t>
            </w:r>
            <w:proofErr w:type="spellStart"/>
            <w:r>
              <w:rPr>
                <w:rFonts w:ascii="Arial" w:hAnsi="Arial" w:cs="Arial"/>
                <w:sz w:val="24"/>
                <w:szCs w:val="24"/>
              </w:rPr>
              <w:t>thereanent</w:t>
            </w:r>
            <w:proofErr w:type="spellEnd"/>
            <w:r>
              <w:rPr>
                <w:rFonts w:ascii="Arial" w:hAnsi="Arial" w:cs="Arial"/>
                <w:sz w:val="24"/>
                <w:szCs w:val="24"/>
              </w:rPr>
              <w:t xml:space="preserve"> in paras [13]- [18] above give this court a clear way to consider whether His Lordship the Chief Justice’s decision stands to be reviewed and set aside without article 81 of the Constitution and s 17 (1) of the Supreme Court Act 15 of 1990 blocking my way.</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[20]</w:t>
            </w:r>
            <w:r>
              <w:rPr>
                <w:rFonts w:ascii="Arial" w:hAnsi="Arial" w:cs="Arial"/>
                <w:sz w:val="24"/>
                <w:szCs w:val="24"/>
              </w:rPr>
              <w:tab/>
              <w:t xml:space="preserve">The super talisman on which Mr Barnard hangs the fate of the respondents’ case in their attempt to resist the application is primarily this: The court ‘lacks jurisdiction to pronounce upon the propriety and regularity of the order of His Lordship Mr Justice </w:t>
            </w:r>
            <w:proofErr w:type="spellStart"/>
            <w:r>
              <w:rPr>
                <w:rFonts w:ascii="Arial" w:hAnsi="Arial" w:cs="Arial"/>
                <w:sz w:val="24"/>
                <w:szCs w:val="24"/>
              </w:rPr>
              <w:t>Shivute</w:t>
            </w:r>
            <w:proofErr w:type="spellEnd"/>
            <w:r>
              <w:rPr>
                <w:rFonts w:ascii="Arial" w:hAnsi="Arial" w:cs="Arial"/>
                <w:sz w:val="24"/>
                <w:szCs w:val="24"/>
              </w:rPr>
              <w:t xml:space="preserve"> (the Honourable Chief Justice)’ on the basis that the granting of a s 85 certificate ‘is an order or ruling of the Supreme Court within the ambit of s 17 (1) of the Supreme Court Act 15 of 1990’. According to Mr Barnard the respondent</w:t>
            </w:r>
            <w:r w:rsidR="005B1680">
              <w:rPr>
                <w:rFonts w:ascii="Arial" w:hAnsi="Arial" w:cs="Arial"/>
                <w:sz w:val="24"/>
                <w:szCs w:val="24"/>
              </w:rPr>
              <w:t>s</w:t>
            </w:r>
            <w:r>
              <w:rPr>
                <w:rFonts w:ascii="Arial" w:hAnsi="Arial" w:cs="Arial"/>
                <w:sz w:val="24"/>
                <w:szCs w:val="24"/>
              </w:rPr>
              <w:t>’ contention is reinforced by article 81 of the Constitution.</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lastRenderedPageBreak/>
              <w:t>[21]</w:t>
            </w:r>
            <w:r>
              <w:rPr>
                <w:rFonts w:ascii="Arial" w:hAnsi="Arial" w:cs="Arial"/>
                <w:sz w:val="24"/>
                <w:szCs w:val="24"/>
              </w:rPr>
              <w:tab/>
              <w:t xml:space="preserve">I have demonstrated in paras [13]-[18] above that like all talismans, the respondents’ talisman is an illusion. I now proceed to undertake the interpretation of s 85 of the LPA. Section 85 provides: </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ind w:left="34" w:firstLine="709"/>
              <w:jc w:val="both"/>
              <w:rPr>
                <w:rFonts w:ascii="Arial" w:hAnsi="Arial" w:cs="Arial"/>
              </w:rPr>
            </w:pPr>
            <w:r w:rsidRPr="00B91ABE">
              <w:rPr>
                <w:rFonts w:ascii="Arial" w:hAnsi="Arial" w:cs="Arial"/>
              </w:rPr>
              <w:t>‘(2)</w:t>
            </w:r>
            <w:r w:rsidRPr="00B91ABE">
              <w:rPr>
                <w:rFonts w:ascii="Arial" w:hAnsi="Arial" w:cs="Arial"/>
              </w:rPr>
              <w:tab/>
              <w:t>Where the Chief Justice or, in his or her absence, the Judge President is satisfied that having regard to the complexity or special circumstances of a matter, it is fair and reasonable for a person to obtain the services of a lawyer who has special expertise relating the matter and that the lawyer is not resident in Namibia or a reciprocating country, he or she may, upon application made to him or her in that behalf, grant to such lawyer a certificate authorising him or her to act in Namibia in relation to that matter.’</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The provisions of s 85 (2) of the LPA are clear and unambiguous. The approach to interpretation of legislation and other legal instruments propounded by the Supreme Court in the recent case of </w:t>
            </w:r>
            <w:r w:rsidRPr="007F0708">
              <w:rPr>
                <w:rFonts w:ascii="Arial" w:hAnsi="Arial" w:cs="Arial"/>
                <w:i/>
                <w:iCs/>
                <w:sz w:val="24"/>
                <w:szCs w:val="24"/>
              </w:rPr>
              <w:t xml:space="preserve">Shoprite Namibia (Pty) Ltd v Namibia Food and Allied Workers Union and </w:t>
            </w:r>
            <w:r>
              <w:rPr>
                <w:rFonts w:ascii="Arial" w:hAnsi="Arial" w:cs="Arial"/>
                <w:i/>
                <w:iCs/>
                <w:sz w:val="24"/>
                <w:szCs w:val="24"/>
              </w:rPr>
              <w:t xml:space="preserve">Another </w:t>
            </w:r>
            <w:r>
              <w:rPr>
                <w:rStyle w:val="FootnoteReference"/>
                <w:rFonts w:ascii="Arial" w:hAnsi="Arial" w:cs="Arial"/>
                <w:sz w:val="24"/>
                <w:szCs w:val="24"/>
              </w:rPr>
              <w:footnoteReference w:id="8"/>
            </w:r>
            <w:r>
              <w:rPr>
                <w:rFonts w:ascii="Arial" w:hAnsi="Arial" w:cs="Arial"/>
                <w:i/>
                <w:iCs/>
                <w:sz w:val="24"/>
                <w:szCs w:val="24"/>
              </w:rPr>
              <w:t xml:space="preserve"> </w:t>
            </w:r>
            <w:r>
              <w:rPr>
                <w:rFonts w:ascii="Arial" w:hAnsi="Arial" w:cs="Arial"/>
                <w:sz w:val="24"/>
                <w:szCs w:val="24"/>
              </w:rPr>
              <w:t xml:space="preserve">entails assessing the meaning of the words used within their statutory context and purpose. It is essentially one unitary exercise in which text and context are relevant in constructing provisions. I shall call them the </w:t>
            </w:r>
            <w:r>
              <w:rPr>
                <w:rFonts w:ascii="Arial" w:hAnsi="Arial" w:cs="Arial"/>
                <w:i/>
                <w:iCs/>
                <w:sz w:val="24"/>
                <w:szCs w:val="24"/>
              </w:rPr>
              <w:t>Shoprite Namibia (Pty) Ltd</w:t>
            </w:r>
            <w:r>
              <w:rPr>
                <w:rFonts w:ascii="Arial" w:hAnsi="Arial" w:cs="Arial"/>
                <w:sz w:val="24"/>
                <w:szCs w:val="24"/>
              </w:rPr>
              <w:t xml:space="preserve"> approach.</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Having applied the </w:t>
            </w:r>
            <w:r>
              <w:rPr>
                <w:rFonts w:ascii="Arial" w:hAnsi="Arial" w:cs="Arial"/>
                <w:i/>
                <w:iCs/>
                <w:sz w:val="24"/>
                <w:szCs w:val="24"/>
              </w:rPr>
              <w:t>Shoprite Namibia (Pty) Ltd</w:t>
            </w:r>
            <w:r>
              <w:rPr>
                <w:rFonts w:ascii="Arial" w:hAnsi="Arial" w:cs="Arial"/>
                <w:sz w:val="24"/>
                <w:szCs w:val="24"/>
              </w:rPr>
              <w:t xml:space="preserve"> approach to the interpretation of </w:t>
            </w:r>
            <w:r w:rsidR="0041573E">
              <w:rPr>
                <w:rFonts w:ascii="Arial" w:hAnsi="Arial" w:cs="Arial"/>
                <w:sz w:val="24"/>
                <w:szCs w:val="24"/>
              </w:rPr>
              <w:t>s</w:t>
            </w:r>
            <w:r>
              <w:rPr>
                <w:rFonts w:ascii="Arial" w:hAnsi="Arial" w:cs="Arial"/>
                <w:sz w:val="24"/>
                <w:szCs w:val="24"/>
              </w:rPr>
              <w:t xml:space="preserve"> 85 (2) of the LPA, I conclude that the jurisdictional facts which must exist in relation to a matter for which a foreign lawyer is sought and in relation to such foreign lawyer are that – </w:t>
            </w:r>
          </w:p>
          <w:p w:rsidR="008D4A36" w:rsidRDefault="008D4A36" w:rsidP="008D4A36">
            <w:pPr>
              <w:spacing w:line="360" w:lineRule="auto"/>
              <w:jc w:val="both"/>
              <w:rPr>
                <w:rFonts w:ascii="Arial" w:hAnsi="Arial" w:cs="Arial"/>
                <w:sz w:val="24"/>
                <w:szCs w:val="24"/>
              </w:rPr>
            </w:pPr>
          </w:p>
          <w:p w:rsidR="008D4A36" w:rsidRPr="004174FD" w:rsidRDefault="008D4A36" w:rsidP="008D4A36">
            <w:pPr>
              <w:spacing w:line="360" w:lineRule="auto"/>
              <w:ind w:left="34"/>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the </w:t>
            </w:r>
            <w:r w:rsidRPr="004174FD">
              <w:rPr>
                <w:rFonts w:ascii="Arial" w:hAnsi="Arial" w:cs="Arial"/>
                <w:sz w:val="24"/>
                <w:szCs w:val="24"/>
              </w:rPr>
              <w:t>matter is complex or there are special circumstances appertaining to the matter (Fact 1);</w:t>
            </w:r>
          </w:p>
          <w:p w:rsidR="008D4A36" w:rsidRDefault="008D4A36" w:rsidP="008D4A36">
            <w:pPr>
              <w:spacing w:line="360" w:lineRule="auto"/>
              <w:ind w:left="34"/>
              <w:jc w:val="both"/>
              <w:rPr>
                <w:rFonts w:ascii="Arial" w:hAnsi="Arial" w:cs="Arial"/>
                <w:sz w:val="24"/>
                <w:szCs w:val="24"/>
              </w:rPr>
            </w:pPr>
          </w:p>
          <w:p w:rsidR="008D4A36" w:rsidRDefault="008D4A36" w:rsidP="008D4A36">
            <w:pPr>
              <w:spacing w:line="360" w:lineRule="auto"/>
              <w:ind w:left="34"/>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foreign lawyer has special expertise relating to the matter (Fact 2).</w:t>
            </w:r>
          </w:p>
          <w:p w:rsidR="008D4A36" w:rsidRDefault="008D4A36" w:rsidP="008D4A36">
            <w:pPr>
              <w:spacing w:line="360" w:lineRule="auto"/>
              <w:ind w:left="34"/>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8D4A36" w:rsidRDefault="008D4A36" w:rsidP="008D4A36">
            <w:pPr>
              <w:spacing w:line="360" w:lineRule="auto"/>
              <w:ind w:left="34"/>
              <w:jc w:val="both"/>
              <w:rPr>
                <w:rFonts w:ascii="Arial" w:hAnsi="Arial" w:cs="Arial"/>
                <w:sz w:val="24"/>
                <w:szCs w:val="24"/>
              </w:rPr>
            </w:pPr>
            <w:r>
              <w:rPr>
                <w:rFonts w:ascii="Arial" w:hAnsi="Arial" w:cs="Arial"/>
                <w:sz w:val="24"/>
                <w:szCs w:val="24"/>
              </w:rPr>
              <w:t>(3)</w:t>
            </w:r>
            <w:r>
              <w:rPr>
                <w:rFonts w:ascii="Arial" w:hAnsi="Arial" w:cs="Arial"/>
                <w:sz w:val="24"/>
                <w:szCs w:val="24"/>
              </w:rPr>
              <w:tab/>
            </w:r>
            <w:proofErr w:type="gramStart"/>
            <w:r w:rsidR="0041573E">
              <w:rPr>
                <w:rFonts w:ascii="Arial" w:hAnsi="Arial" w:cs="Arial"/>
                <w:sz w:val="24"/>
                <w:szCs w:val="24"/>
              </w:rPr>
              <w:t>t</w:t>
            </w:r>
            <w:r>
              <w:rPr>
                <w:rFonts w:ascii="Arial" w:hAnsi="Arial" w:cs="Arial"/>
                <w:sz w:val="24"/>
                <w:szCs w:val="24"/>
              </w:rPr>
              <w:t>he</w:t>
            </w:r>
            <w:proofErr w:type="gramEnd"/>
            <w:r>
              <w:rPr>
                <w:rFonts w:ascii="Arial" w:hAnsi="Arial" w:cs="Arial"/>
                <w:sz w:val="24"/>
                <w:szCs w:val="24"/>
              </w:rPr>
              <w:t xml:space="preserve"> foreign lawyer is not resident in Namibia (Fact 3).</w:t>
            </w:r>
          </w:p>
          <w:p w:rsidR="008D4A36" w:rsidRDefault="008D4A36" w:rsidP="008D4A36">
            <w:pPr>
              <w:spacing w:line="360" w:lineRule="auto"/>
              <w:ind w:left="34"/>
              <w:jc w:val="both"/>
              <w:rPr>
                <w:rFonts w:ascii="Arial" w:hAnsi="Arial" w:cs="Arial"/>
                <w:sz w:val="24"/>
                <w:szCs w:val="24"/>
              </w:rPr>
            </w:pPr>
          </w:p>
          <w:p w:rsidR="008D4A36" w:rsidRDefault="008D4A36" w:rsidP="008D4A36">
            <w:pPr>
              <w:spacing w:line="360" w:lineRule="auto"/>
              <w:ind w:left="34"/>
              <w:jc w:val="both"/>
              <w:rPr>
                <w:rFonts w:ascii="Arial" w:hAnsi="Arial" w:cs="Arial"/>
                <w:sz w:val="24"/>
                <w:szCs w:val="24"/>
              </w:rPr>
            </w:pPr>
            <w:r>
              <w:rPr>
                <w:rFonts w:ascii="Arial" w:hAnsi="Arial" w:cs="Arial"/>
                <w:sz w:val="24"/>
                <w:szCs w:val="24"/>
              </w:rPr>
              <w:t>(4)</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foreign lawyer is not resident in a reciprocating country referred to in s 85 (1) of the LPA (Fact 4).</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[24]</w:t>
            </w:r>
            <w:r>
              <w:rPr>
                <w:rFonts w:ascii="Arial" w:hAnsi="Arial" w:cs="Arial"/>
                <w:sz w:val="24"/>
                <w:szCs w:val="24"/>
              </w:rPr>
              <w:tab/>
            </w:r>
            <w:r w:rsidR="0041573E">
              <w:rPr>
                <w:rFonts w:ascii="Arial" w:hAnsi="Arial" w:cs="Arial"/>
                <w:sz w:val="24"/>
                <w:szCs w:val="24"/>
              </w:rPr>
              <w:t>It follows</w:t>
            </w:r>
            <w:r>
              <w:rPr>
                <w:rFonts w:ascii="Arial" w:hAnsi="Arial" w:cs="Arial"/>
                <w:sz w:val="24"/>
                <w:szCs w:val="24"/>
              </w:rPr>
              <w:t xml:space="preserve"> inevitably as night follows day that a foreign lawyer who fails to establish any one of the four facts set out in para [23] above cannot in law be issued with </w:t>
            </w:r>
            <w:proofErr w:type="gramStart"/>
            <w:r>
              <w:rPr>
                <w:rFonts w:ascii="Arial" w:hAnsi="Arial" w:cs="Arial"/>
                <w:sz w:val="24"/>
                <w:szCs w:val="24"/>
              </w:rPr>
              <w:t>a</w:t>
            </w:r>
            <w:proofErr w:type="gramEnd"/>
            <w:r>
              <w:rPr>
                <w:rFonts w:ascii="Arial" w:hAnsi="Arial" w:cs="Arial"/>
                <w:sz w:val="24"/>
                <w:szCs w:val="24"/>
              </w:rPr>
              <w:t xml:space="preserve"> s 85 certificate. Thus, if </w:t>
            </w:r>
            <w:r>
              <w:rPr>
                <w:rFonts w:ascii="Arial" w:hAnsi="Arial" w:cs="Arial"/>
                <w:sz w:val="24"/>
                <w:szCs w:val="24"/>
              </w:rPr>
              <w:lastRenderedPageBreak/>
              <w:t xml:space="preserve">the application placed before him or </w:t>
            </w:r>
            <w:proofErr w:type="gramStart"/>
            <w:r>
              <w:rPr>
                <w:rFonts w:ascii="Arial" w:hAnsi="Arial" w:cs="Arial"/>
                <w:sz w:val="24"/>
                <w:szCs w:val="24"/>
              </w:rPr>
              <w:t>her</w:t>
            </w:r>
            <w:proofErr w:type="gramEnd"/>
            <w:r>
              <w:rPr>
                <w:rFonts w:ascii="Arial" w:hAnsi="Arial" w:cs="Arial"/>
                <w:sz w:val="24"/>
                <w:szCs w:val="24"/>
              </w:rPr>
              <w:t>, any one of the four facts is not proved to exist, the Chief Justice has no power to grant a s 85 certificate. In that regard, in his or her exercise of discretion, the Chief Justice must not offend any ground known to the law for the review of administrative acts (action).</w:t>
            </w:r>
            <w:r>
              <w:rPr>
                <w:rStyle w:val="FootnoteReference"/>
                <w:rFonts w:ascii="Arial" w:hAnsi="Arial" w:cs="Arial"/>
                <w:sz w:val="24"/>
                <w:szCs w:val="24"/>
              </w:rPr>
              <w:footnoteReference w:id="9"/>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[25]</w:t>
            </w:r>
            <w:r>
              <w:rPr>
                <w:rFonts w:ascii="Arial" w:hAnsi="Arial" w:cs="Arial"/>
                <w:sz w:val="24"/>
                <w:szCs w:val="24"/>
              </w:rPr>
              <w:tab/>
              <w:t xml:space="preserve">In the papers, the undisputed facts which are relevant for our present purposes are plainly these: Mr Barnard (the third respondent) has been issued with a permanent resident permit to enter and to be in Namibia for the purpose of permanent residence in Namibia in terms of s 26 of the Immigration Control Act 7 of 1993 </w:t>
            </w:r>
            <w:r w:rsidR="00CB1C83">
              <w:rPr>
                <w:rFonts w:ascii="Arial" w:hAnsi="Arial" w:cs="Arial"/>
                <w:sz w:val="24"/>
                <w:szCs w:val="24"/>
              </w:rPr>
              <w:t>and has taken up such residence</w:t>
            </w:r>
            <w:r>
              <w:rPr>
                <w:rFonts w:ascii="Arial" w:hAnsi="Arial" w:cs="Arial"/>
                <w:sz w:val="24"/>
                <w:szCs w:val="24"/>
              </w:rPr>
              <w:t xml:space="preserve"> to keep the validity of the permanent residence permit alive in terms of s 26 (5) of the said Act.</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[26]</w:t>
            </w:r>
            <w:r>
              <w:rPr>
                <w:rFonts w:ascii="Arial" w:hAnsi="Arial" w:cs="Arial"/>
                <w:sz w:val="24"/>
                <w:szCs w:val="24"/>
              </w:rPr>
              <w:tab/>
              <w:t xml:space="preserve">The fact that Mr Barnard has obtained a permanent residence permit and ‘has taken up such residence’, as aforesaid, is contained in the Declaration that accompanied the s 85 application submitted to the Chief Justice by the instructing legal practitioner in the matter concerned. From whatever prism one looks at these relevant facts and recalling the </w:t>
            </w:r>
            <w:r>
              <w:rPr>
                <w:rFonts w:ascii="Arial" w:hAnsi="Arial" w:cs="Arial"/>
                <w:i/>
                <w:iCs/>
                <w:sz w:val="24"/>
                <w:szCs w:val="24"/>
              </w:rPr>
              <w:t>Shoprite Namibia (Pty) Ltd</w:t>
            </w:r>
            <w:r>
              <w:rPr>
                <w:rFonts w:ascii="Arial" w:hAnsi="Arial" w:cs="Arial"/>
                <w:sz w:val="24"/>
                <w:szCs w:val="24"/>
              </w:rPr>
              <w:t xml:space="preserve"> approach of interpretation, discussed in para [22] above, it is indisputable that Mr Barnard is resident in Namibia, within the meaning of s 85 (2) of the LPA. In failing to take into account those relevant facts when exercising his discretion regarding the jurisdictional facts, the Honourable Chief Justice’s decision, with respect and with the greatest deference to him, is unlawful and invalid for the reasons set out in the succeeding para [27].</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[27]</w:t>
            </w:r>
            <w:r>
              <w:rPr>
                <w:rFonts w:ascii="Arial" w:hAnsi="Arial" w:cs="Arial"/>
                <w:sz w:val="24"/>
                <w:szCs w:val="24"/>
              </w:rPr>
              <w:tab/>
              <w:t>There was an abuse or improper exercise of discretion, which is a ground of review of administrative action.</w:t>
            </w:r>
            <w:r>
              <w:rPr>
                <w:rStyle w:val="FootnoteReference"/>
                <w:rFonts w:ascii="Arial" w:hAnsi="Arial" w:cs="Arial"/>
                <w:sz w:val="24"/>
                <w:szCs w:val="24"/>
              </w:rPr>
              <w:footnoteReference w:id="10"/>
            </w:r>
            <w:r w:rsidR="00CB1C83">
              <w:rPr>
                <w:rFonts w:ascii="Arial" w:hAnsi="Arial" w:cs="Arial"/>
                <w:sz w:val="24"/>
                <w:szCs w:val="24"/>
              </w:rPr>
              <w:t xml:space="preserve"> His Lordship </w:t>
            </w:r>
            <w:r>
              <w:rPr>
                <w:rFonts w:ascii="Arial" w:hAnsi="Arial" w:cs="Arial"/>
                <w:sz w:val="24"/>
                <w:szCs w:val="24"/>
              </w:rPr>
              <w:t>Chief Justice, with respect, failed or neglected to take into account a relevant matter which he ought to have taken into account,</w:t>
            </w:r>
            <w:r>
              <w:rPr>
                <w:rStyle w:val="FootnoteReference"/>
                <w:rFonts w:ascii="Arial" w:hAnsi="Arial" w:cs="Arial"/>
                <w:sz w:val="24"/>
                <w:szCs w:val="24"/>
              </w:rPr>
              <w:footnoteReference w:id="11"/>
            </w:r>
            <w:r>
              <w:rPr>
                <w:rFonts w:ascii="Arial" w:hAnsi="Arial" w:cs="Arial"/>
                <w:sz w:val="24"/>
                <w:szCs w:val="24"/>
              </w:rPr>
              <w:t xml:space="preserve"> namely, the relevant fact that Mr Barnard is resident in Namibia. Mr Barnard’s own application for </w:t>
            </w:r>
            <w:proofErr w:type="gramStart"/>
            <w:r>
              <w:rPr>
                <w:rFonts w:ascii="Arial" w:hAnsi="Arial" w:cs="Arial"/>
                <w:sz w:val="24"/>
                <w:szCs w:val="24"/>
              </w:rPr>
              <w:t>a</w:t>
            </w:r>
            <w:proofErr w:type="gramEnd"/>
            <w:r>
              <w:rPr>
                <w:rFonts w:ascii="Arial" w:hAnsi="Arial" w:cs="Arial"/>
                <w:sz w:val="24"/>
                <w:szCs w:val="24"/>
              </w:rPr>
              <w:t xml:space="preserve"> s 85 certificate vindicates the relevant fact. The said application shows indubitably that a material jurisdictional fact (</w:t>
            </w:r>
            <w:proofErr w:type="spellStart"/>
            <w:r>
              <w:rPr>
                <w:rFonts w:ascii="Arial" w:hAnsi="Arial" w:cs="Arial"/>
                <w:sz w:val="24"/>
                <w:szCs w:val="24"/>
              </w:rPr>
              <w:t>ie</w:t>
            </w:r>
            <w:proofErr w:type="spellEnd"/>
            <w:r>
              <w:rPr>
                <w:rFonts w:ascii="Arial" w:hAnsi="Arial" w:cs="Arial"/>
                <w:sz w:val="24"/>
                <w:szCs w:val="24"/>
              </w:rPr>
              <w:t xml:space="preserve"> Fact 3 in para [24] above) was not shown to exist.</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lastRenderedPageBreak/>
              <w:t>[28]</w:t>
            </w:r>
            <w:r>
              <w:rPr>
                <w:rFonts w:ascii="Arial" w:hAnsi="Arial" w:cs="Arial"/>
                <w:sz w:val="24"/>
                <w:szCs w:val="24"/>
              </w:rPr>
              <w:tab/>
              <w:t xml:space="preserve">The decision to grant to Mr Barnard </w:t>
            </w:r>
            <w:proofErr w:type="gramStart"/>
            <w:r>
              <w:rPr>
                <w:rFonts w:ascii="Arial" w:hAnsi="Arial" w:cs="Arial"/>
                <w:sz w:val="24"/>
                <w:szCs w:val="24"/>
              </w:rPr>
              <w:t>a</w:t>
            </w:r>
            <w:proofErr w:type="gramEnd"/>
            <w:r>
              <w:rPr>
                <w:rFonts w:ascii="Arial" w:hAnsi="Arial" w:cs="Arial"/>
                <w:sz w:val="24"/>
                <w:szCs w:val="24"/>
              </w:rPr>
              <w:t xml:space="preserve"> s 85 certificate was, therefore, not in compliance with the section. A compliance with s 85 was required by the rule of law and legality.</w:t>
            </w:r>
            <w:r>
              <w:rPr>
                <w:rStyle w:val="FootnoteReference"/>
                <w:rFonts w:ascii="Arial" w:hAnsi="Arial" w:cs="Arial"/>
                <w:sz w:val="24"/>
                <w:szCs w:val="24"/>
              </w:rPr>
              <w:footnoteReference w:id="12"/>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[29]</w:t>
            </w:r>
            <w:r>
              <w:rPr>
                <w:rFonts w:ascii="Arial" w:hAnsi="Arial" w:cs="Arial"/>
                <w:sz w:val="24"/>
                <w:szCs w:val="24"/>
              </w:rPr>
              <w:tab/>
              <w:t>Consequently, I find that and hold that His Lordship Chief Justice’s decision is unlawful and invalid. The question that arises is this: Should the invalid decision be set aside? On the facts and in circumstances of the case and in the interest of fairness to other lawyers who hold permanent resident permits and are resident in Namibia</w:t>
            </w:r>
            <w:r w:rsidR="00CB1C83">
              <w:rPr>
                <w:rFonts w:ascii="Arial" w:hAnsi="Arial" w:cs="Arial"/>
                <w:sz w:val="24"/>
                <w:szCs w:val="24"/>
              </w:rPr>
              <w:t xml:space="preserve"> and</w:t>
            </w:r>
            <w:r>
              <w:rPr>
                <w:rFonts w:ascii="Arial" w:hAnsi="Arial" w:cs="Arial"/>
                <w:sz w:val="24"/>
                <w:szCs w:val="24"/>
              </w:rPr>
              <w:t xml:space="preserve"> who had to and have to be admitted as legal practitioners through the qualifications processes prescribed by the LPA. Moreover, it is not in the interest of the rule of law for the unlawful and invalid decision to remain intact without setting it aside. Accordingly, it is in the interest of the law and fairness to set aside the decision.</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[30]</w:t>
            </w:r>
            <w:r>
              <w:rPr>
                <w:rFonts w:ascii="Arial" w:hAnsi="Arial" w:cs="Arial"/>
                <w:sz w:val="24"/>
                <w:szCs w:val="24"/>
              </w:rPr>
              <w:tab/>
              <w:t xml:space="preserve">The foregoing analysis and conclusions </w:t>
            </w:r>
            <w:proofErr w:type="spellStart"/>
            <w:r>
              <w:rPr>
                <w:rFonts w:ascii="Arial" w:hAnsi="Arial" w:cs="Arial"/>
                <w:sz w:val="24"/>
                <w:szCs w:val="24"/>
              </w:rPr>
              <w:t>thereanent</w:t>
            </w:r>
            <w:proofErr w:type="spellEnd"/>
            <w:r>
              <w:rPr>
                <w:rFonts w:ascii="Arial" w:hAnsi="Arial" w:cs="Arial"/>
                <w:sz w:val="24"/>
                <w:szCs w:val="24"/>
              </w:rPr>
              <w:t xml:space="preserve"> are unaffected by the following points submitted to the court by Mr Barnard. It is about Mr Heathcote</w:t>
            </w:r>
            <w:r w:rsidR="00CB1C83">
              <w:rPr>
                <w:rFonts w:ascii="Arial" w:hAnsi="Arial" w:cs="Arial"/>
                <w:sz w:val="24"/>
                <w:szCs w:val="24"/>
              </w:rPr>
              <w:t>’s</w:t>
            </w:r>
            <w:r>
              <w:rPr>
                <w:rFonts w:ascii="Arial" w:hAnsi="Arial" w:cs="Arial"/>
                <w:sz w:val="24"/>
                <w:szCs w:val="24"/>
              </w:rPr>
              <w:t xml:space="preserve"> submissions to the court. I did not see that in his submissions, Mr Heathcote introduced for the first-time facts which are unknown to the papers filed of record. It was the respondents who raised the aforementioned preliminary objections. Therefore, it is safe and reasonable to say that the respondents know what facts they were relying on and the law applicable.</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[31]</w:t>
            </w:r>
            <w:r>
              <w:rPr>
                <w:rFonts w:ascii="Arial" w:hAnsi="Arial" w:cs="Arial"/>
                <w:sz w:val="24"/>
                <w:szCs w:val="24"/>
              </w:rPr>
              <w:tab/>
              <w:t xml:space="preserve">As to the facts on the merits that are relevant for the determination of the application, I did not see any relevant acts, particularly about the immigration status of Mr Barnard in Namibia and the fact that he has taken up residence in Namibia, </w:t>
            </w:r>
            <w:r w:rsidR="00CB1C83">
              <w:rPr>
                <w:rFonts w:ascii="Arial" w:hAnsi="Arial" w:cs="Arial"/>
                <w:sz w:val="24"/>
                <w:szCs w:val="24"/>
              </w:rPr>
              <w:t>that</w:t>
            </w:r>
            <w:r>
              <w:rPr>
                <w:rFonts w:ascii="Arial" w:hAnsi="Arial" w:cs="Arial"/>
                <w:sz w:val="24"/>
                <w:szCs w:val="24"/>
              </w:rPr>
              <w:t xml:space="preserve"> are not on the papers. As to the law on judicial review of administrative action, relied on by Mr Heathcote, I would say they are trite and rudimentary so much so that there is no way one can say that Mr Barnard is not familiar with them.</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[32]</w:t>
            </w:r>
            <w:r>
              <w:rPr>
                <w:rFonts w:ascii="Arial" w:hAnsi="Arial" w:cs="Arial"/>
                <w:sz w:val="24"/>
                <w:szCs w:val="24"/>
              </w:rPr>
              <w:tab/>
              <w:t>I have said those things in paras [30]-[31] above to conclude as follows: I cannot see in what manner Mr Barnard could have been short-changed by the content of Mr Heathcote’s submissions that are relevant for the task in hand. In any case, I hasten to add that it is trite that heads of arguments are for the benefit of the judge.</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t>[33]</w:t>
            </w:r>
            <w:r>
              <w:rPr>
                <w:rFonts w:ascii="Arial" w:hAnsi="Arial" w:cs="Arial"/>
                <w:sz w:val="24"/>
                <w:szCs w:val="24"/>
              </w:rPr>
              <w:tab/>
              <w:t>It remains the question of costs, that is, costs of this application and costs of the subpoena proceedings. As to the subpoena proceedings, I am prepared to grant costs.</w:t>
            </w:r>
          </w:p>
          <w:p w:rsidR="008D4A36" w:rsidRDefault="008D4A36" w:rsidP="008D4A36">
            <w:pPr>
              <w:spacing w:line="360" w:lineRule="auto"/>
              <w:jc w:val="both"/>
              <w:rPr>
                <w:rFonts w:ascii="Arial" w:hAnsi="Arial" w:cs="Arial"/>
                <w:sz w:val="24"/>
                <w:szCs w:val="24"/>
              </w:rPr>
            </w:pPr>
          </w:p>
          <w:p w:rsidR="008D4A36" w:rsidRDefault="008D4A36" w:rsidP="008D4A36">
            <w:pPr>
              <w:spacing w:line="360" w:lineRule="auto"/>
              <w:jc w:val="both"/>
              <w:rPr>
                <w:rFonts w:ascii="Arial" w:hAnsi="Arial" w:cs="Arial"/>
                <w:sz w:val="24"/>
                <w:szCs w:val="24"/>
              </w:rPr>
            </w:pPr>
            <w:r>
              <w:rPr>
                <w:rFonts w:ascii="Arial" w:hAnsi="Arial" w:cs="Arial"/>
                <w:sz w:val="24"/>
                <w:szCs w:val="24"/>
              </w:rPr>
              <w:lastRenderedPageBreak/>
              <w:t>[34]</w:t>
            </w:r>
            <w:r>
              <w:rPr>
                <w:rFonts w:ascii="Arial" w:hAnsi="Arial" w:cs="Arial"/>
                <w:sz w:val="24"/>
                <w:szCs w:val="24"/>
              </w:rPr>
              <w:tab/>
              <w:t xml:space="preserve">As to costs of the application, the second respondent shall be exempted from the effects of any costs order; not least because the second respondent has not opposed the application. In any case, the applicant – correctly – has not sought a costs order against the second respondent. The interlocutory application was argued intensely by a </w:t>
            </w:r>
            <w:proofErr w:type="spellStart"/>
            <w:r w:rsidRPr="00372772">
              <w:rPr>
                <w:rFonts w:ascii="Arial" w:hAnsi="Arial" w:cs="Arial"/>
                <w:sz w:val="24"/>
                <w:szCs w:val="24"/>
              </w:rPr>
              <w:t>silked</w:t>
            </w:r>
            <w:proofErr w:type="spellEnd"/>
            <w:r w:rsidRPr="00595FE7">
              <w:rPr>
                <w:rFonts w:ascii="Arial" w:hAnsi="Arial" w:cs="Arial"/>
                <w:color w:val="FF0000"/>
                <w:sz w:val="24"/>
                <w:szCs w:val="24"/>
              </w:rPr>
              <w:t xml:space="preserve"> </w:t>
            </w:r>
            <w:r>
              <w:rPr>
                <w:rFonts w:ascii="Arial" w:hAnsi="Arial" w:cs="Arial"/>
                <w:sz w:val="24"/>
                <w:szCs w:val="24"/>
              </w:rPr>
              <w:t>senior counsel and a senior practitioner. Mr Heathcote’s written submission occupied nine pages and Mr Barnard’s written submission ran into 62 pages, not to count the pages and pages of a bevy of authorities that the court was treated to. It is not of the kind that at times are argued from the Bar without written heads or argued on up to10-page written heads of argument on some procedural matter. Indeed, the respondents sought costs that are uncapped by rule 32 (11) of the rules of court. Therefore, I think it is fair, just and reasonable to order costs that are uncapped by rule 32 (</w:t>
            </w:r>
            <w:r w:rsidR="00CB1C83">
              <w:rPr>
                <w:rFonts w:ascii="Arial" w:hAnsi="Arial" w:cs="Arial"/>
                <w:sz w:val="24"/>
                <w:szCs w:val="24"/>
              </w:rPr>
              <w:t>11</w:t>
            </w:r>
            <w:r>
              <w:rPr>
                <w:rFonts w:ascii="Arial" w:hAnsi="Arial" w:cs="Arial"/>
                <w:sz w:val="24"/>
                <w:szCs w:val="24"/>
              </w:rPr>
              <w:t>) of the rules.</w:t>
            </w:r>
          </w:p>
          <w:p w:rsidR="00714241" w:rsidRPr="00A949AE" w:rsidRDefault="00714241" w:rsidP="00A949AE">
            <w:pPr>
              <w:spacing w:line="360" w:lineRule="auto"/>
              <w:jc w:val="both"/>
              <w:rPr>
                <w:rFonts w:ascii="Arial" w:eastAsia="Times New Roman" w:hAnsi="Arial" w:cs="Arial"/>
                <w:sz w:val="24"/>
                <w:szCs w:val="24"/>
                <w:lang w:val="en-US"/>
              </w:rPr>
            </w:pPr>
          </w:p>
        </w:tc>
      </w:tr>
      <w:tr w:rsidR="00CA7995" w:rsidRPr="00CA7995" w:rsidTr="003B0F1E">
        <w:tc>
          <w:tcPr>
            <w:tcW w:w="5209" w:type="dxa"/>
          </w:tcPr>
          <w:p w:rsidR="00B40844" w:rsidRPr="00CA7995" w:rsidRDefault="00B40844" w:rsidP="00ED76B2">
            <w:pPr>
              <w:spacing w:line="360" w:lineRule="auto"/>
              <w:jc w:val="center"/>
              <w:rPr>
                <w:rFonts w:ascii="Arial" w:hAnsi="Arial" w:cs="Arial"/>
                <w:b/>
                <w:sz w:val="24"/>
                <w:szCs w:val="24"/>
              </w:rPr>
            </w:pPr>
            <w:r w:rsidRPr="00CA7995">
              <w:rPr>
                <w:rFonts w:ascii="Arial" w:hAnsi="Arial" w:cs="Arial"/>
                <w:b/>
                <w:sz w:val="24"/>
                <w:szCs w:val="24"/>
              </w:rPr>
              <w:lastRenderedPageBreak/>
              <w:t>Judge’s signature:</w:t>
            </w:r>
          </w:p>
        </w:tc>
        <w:tc>
          <w:tcPr>
            <w:tcW w:w="5423" w:type="dxa"/>
            <w:gridSpan w:val="2"/>
          </w:tcPr>
          <w:p w:rsidR="00B40844" w:rsidRPr="00CA7995" w:rsidRDefault="00B40844" w:rsidP="00937C89">
            <w:pPr>
              <w:spacing w:line="360" w:lineRule="auto"/>
              <w:jc w:val="center"/>
              <w:rPr>
                <w:rFonts w:ascii="Arial" w:hAnsi="Arial" w:cs="Arial"/>
                <w:b/>
                <w:sz w:val="24"/>
                <w:szCs w:val="24"/>
              </w:rPr>
            </w:pPr>
            <w:r w:rsidRPr="00CA7995">
              <w:rPr>
                <w:rFonts w:ascii="Arial" w:hAnsi="Arial" w:cs="Arial"/>
                <w:b/>
                <w:sz w:val="24"/>
                <w:szCs w:val="24"/>
              </w:rPr>
              <w:t>Note to the parties:</w:t>
            </w:r>
          </w:p>
        </w:tc>
      </w:tr>
      <w:tr w:rsidR="00CA7995" w:rsidRPr="00CA7995" w:rsidTr="003B0F1E">
        <w:trPr>
          <w:trHeight w:val="1114"/>
        </w:trPr>
        <w:tc>
          <w:tcPr>
            <w:tcW w:w="5209" w:type="dxa"/>
          </w:tcPr>
          <w:p w:rsidR="00B40844" w:rsidRDefault="00B40844" w:rsidP="00937C89">
            <w:pPr>
              <w:spacing w:line="360" w:lineRule="auto"/>
              <w:jc w:val="both"/>
              <w:rPr>
                <w:rFonts w:ascii="Arial" w:hAnsi="Arial" w:cs="Arial"/>
                <w:sz w:val="24"/>
                <w:szCs w:val="24"/>
              </w:rPr>
            </w:pPr>
          </w:p>
          <w:p w:rsidR="00F31BD5" w:rsidRDefault="00F31BD5" w:rsidP="00937C89">
            <w:pPr>
              <w:spacing w:line="360" w:lineRule="auto"/>
              <w:jc w:val="both"/>
              <w:rPr>
                <w:rFonts w:ascii="Arial" w:hAnsi="Arial" w:cs="Arial"/>
                <w:sz w:val="24"/>
                <w:szCs w:val="24"/>
              </w:rPr>
            </w:pPr>
          </w:p>
          <w:p w:rsidR="00714241" w:rsidRPr="00CA7995" w:rsidRDefault="00714241" w:rsidP="00937C89">
            <w:pPr>
              <w:spacing w:line="360" w:lineRule="auto"/>
              <w:jc w:val="both"/>
              <w:rPr>
                <w:rFonts w:ascii="Arial" w:hAnsi="Arial" w:cs="Arial"/>
                <w:sz w:val="24"/>
                <w:szCs w:val="24"/>
              </w:rPr>
            </w:pPr>
          </w:p>
          <w:p w:rsidR="00B40844" w:rsidRPr="00CA7995" w:rsidRDefault="00B40844" w:rsidP="00937C89">
            <w:pPr>
              <w:spacing w:line="360" w:lineRule="auto"/>
              <w:jc w:val="both"/>
              <w:rPr>
                <w:rFonts w:ascii="Arial" w:hAnsi="Arial" w:cs="Arial"/>
                <w:sz w:val="24"/>
                <w:szCs w:val="24"/>
              </w:rPr>
            </w:pPr>
          </w:p>
        </w:tc>
        <w:tc>
          <w:tcPr>
            <w:tcW w:w="5423" w:type="dxa"/>
            <w:gridSpan w:val="2"/>
          </w:tcPr>
          <w:p w:rsidR="00B40844" w:rsidRPr="00CA7995" w:rsidRDefault="00B40844" w:rsidP="00937C89">
            <w:pPr>
              <w:spacing w:line="360" w:lineRule="auto"/>
              <w:jc w:val="both"/>
              <w:rPr>
                <w:rFonts w:ascii="Arial" w:hAnsi="Arial" w:cs="Arial"/>
                <w:sz w:val="24"/>
                <w:szCs w:val="24"/>
              </w:rPr>
            </w:pPr>
            <w:r w:rsidRPr="00CA7995">
              <w:rPr>
                <w:rFonts w:ascii="Arial" w:hAnsi="Arial" w:cs="Arial"/>
                <w:sz w:val="24"/>
                <w:szCs w:val="24"/>
              </w:rPr>
              <w:t>Not applicable.</w:t>
            </w:r>
          </w:p>
        </w:tc>
      </w:tr>
      <w:tr w:rsidR="00CA7995" w:rsidRPr="00CA7995" w:rsidTr="00C71A4D">
        <w:trPr>
          <w:trHeight w:val="499"/>
        </w:trPr>
        <w:tc>
          <w:tcPr>
            <w:tcW w:w="10632" w:type="dxa"/>
            <w:gridSpan w:val="3"/>
            <w:vAlign w:val="center"/>
          </w:tcPr>
          <w:p w:rsidR="00B40844" w:rsidRPr="00CA7995" w:rsidRDefault="00B40844" w:rsidP="00C71A4D">
            <w:pPr>
              <w:spacing w:line="360" w:lineRule="auto"/>
              <w:jc w:val="center"/>
              <w:rPr>
                <w:rFonts w:ascii="Arial" w:hAnsi="Arial" w:cs="Arial"/>
                <w:b/>
                <w:sz w:val="24"/>
                <w:szCs w:val="24"/>
              </w:rPr>
            </w:pPr>
            <w:r w:rsidRPr="00CA7995">
              <w:rPr>
                <w:rFonts w:ascii="Arial" w:hAnsi="Arial" w:cs="Arial"/>
                <w:b/>
                <w:sz w:val="24"/>
                <w:szCs w:val="24"/>
              </w:rPr>
              <w:t>Counsel:</w:t>
            </w:r>
          </w:p>
        </w:tc>
      </w:tr>
      <w:tr w:rsidR="00CA7995" w:rsidRPr="00CA7995" w:rsidTr="00C71A4D">
        <w:trPr>
          <w:trHeight w:val="462"/>
        </w:trPr>
        <w:tc>
          <w:tcPr>
            <w:tcW w:w="5209" w:type="dxa"/>
            <w:vAlign w:val="center"/>
          </w:tcPr>
          <w:p w:rsidR="00B40844" w:rsidRPr="00CA7995" w:rsidRDefault="002E67DE" w:rsidP="00C97B0A">
            <w:pPr>
              <w:spacing w:line="360" w:lineRule="auto"/>
              <w:jc w:val="center"/>
              <w:rPr>
                <w:rFonts w:ascii="Arial" w:hAnsi="Arial" w:cs="Arial"/>
                <w:b/>
                <w:sz w:val="24"/>
                <w:szCs w:val="24"/>
              </w:rPr>
            </w:pPr>
            <w:r>
              <w:rPr>
                <w:rFonts w:ascii="Arial" w:hAnsi="Arial" w:cs="Arial"/>
                <w:b/>
                <w:sz w:val="24"/>
                <w:szCs w:val="24"/>
              </w:rPr>
              <w:t>APPLICANT</w:t>
            </w:r>
          </w:p>
        </w:tc>
        <w:tc>
          <w:tcPr>
            <w:tcW w:w="5423" w:type="dxa"/>
            <w:gridSpan w:val="2"/>
            <w:vAlign w:val="center"/>
          </w:tcPr>
          <w:p w:rsidR="00B40844" w:rsidRPr="00CA7995" w:rsidRDefault="002E67DE" w:rsidP="00C97B0A">
            <w:pPr>
              <w:spacing w:line="360" w:lineRule="auto"/>
              <w:jc w:val="center"/>
              <w:rPr>
                <w:rFonts w:ascii="Arial" w:hAnsi="Arial" w:cs="Arial"/>
                <w:b/>
                <w:sz w:val="24"/>
                <w:szCs w:val="24"/>
              </w:rPr>
            </w:pPr>
            <w:r>
              <w:rPr>
                <w:rFonts w:ascii="Arial" w:hAnsi="Arial" w:cs="Arial"/>
                <w:b/>
                <w:sz w:val="24"/>
                <w:szCs w:val="24"/>
              </w:rPr>
              <w:t>RESPONDENTS</w:t>
            </w:r>
          </w:p>
        </w:tc>
      </w:tr>
      <w:tr w:rsidR="00CA7995" w:rsidRPr="00CA7995" w:rsidTr="003B0F1E">
        <w:tc>
          <w:tcPr>
            <w:tcW w:w="5209" w:type="dxa"/>
          </w:tcPr>
          <w:p w:rsidR="00801B03" w:rsidRPr="00801B03" w:rsidRDefault="002E67DE" w:rsidP="00751A8C">
            <w:pPr>
              <w:tabs>
                <w:tab w:val="center" w:pos="2603"/>
                <w:tab w:val="left" w:pos="4476"/>
              </w:tabs>
              <w:spacing w:line="360" w:lineRule="auto"/>
              <w:jc w:val="center"/>
              <w:rPr>
                <w:rFonts w:ascii="Arial" w:hAnsi="Arial" w:cs="Arial"/>
                <w:sz w:val="24"/>
                <w:szCs w:val="24"/>
              </w:rPr>
            </w:pPr>
            <w:r>
              <w:rPr>
                <w:rFonts w:ascii="Arial" w:hAnsi="Arial" w:cs="Arial"/>
                <w:sz w:val="24"/>
                <w:szCs w:val="24"/>
              </w:rPr>
              <w:t>R</w:t>
            </w:r>
            <w:r w:rsidR="00801B03" w:rsidRPr="00801B03">
              <w:rPr>
                <w:rFonts w:ascii="Arial" w:hAnsi="Arial" w:cs="Arial"/>
                <w:sz w:val="24"/>
                <w:szCs w:val="24"/>
              </w:rPr>
              <w:t xml:space="preserve"> </w:t>
            </w:r>
            <w:r>
              <w:rPr>
                <w:rFonts w:ascii="Arial" w:hAnsi="Arial" w:cs="Arial"/>
                <w:sz w:val="24"/>
                <w:szCs w:val="24"/>
              </w:rPr>
              <w:t xml:space="preserve">Heathcote, SC (with him </w:t>
            </w:r>
            <w:r w:rsidR="00E10B88">
              <w:rPr>
                <w:rFonts w:ascii="Arial" w:hAnsi="Arial" w:cs="Arial"/>
                <w:sz w:val="24"/>
                <w:szCs w:val="24"/>
              </w:rPr>
              <w:t>G Dicks</w:t>
            </w:r>
            <w:bookmarkStart w:id="0" w:name="_GoBack"/>
            <w:bookmarkEnd w:id="0"/>
            <w:r>
              <w:rPr>
                <w:rFonts w:ascii="Arial" w:hAnsi="Arial" w:cs="Arial"/>
                <w:sz w:val="24"/>
                <w:szCs w:val="24"/>
              </w:rPr>
              <w:t>)</w:t>
            </w:r>
          </w:p>
          <w:p w:rsidR="00751A8C" w:rsidRPr="00AC43A2" w:rsidRDefault="002E67DE" w:rsidP="00751A8C">
            <w:pPr>
              <w:tabs>
                <w:tab w:val="center" w:pos="2603"/>
                <w:tab w:val="left" w:pos="4476"/>
              </w:tabs>
              <w:spacing w:line="360" w:lineRule="auto"/>
              <w:jc w:val="center"/>
              <w:rPr>
                <w:rFonts w:ascii="Arial" w:hAnsi="Arial" w:cs="Arial"/>
                <w:sz w:val="24"/>
                <w:szCs w:val="24"/>
              </w:rPr>
            </w:pPr>
            <w:r>
              <w:rPr>
                <w:rFonts w:ascii="Arial" w:hAnsi="Arial" w:cs="Arial"/>
                <w:sz w:val="24"/>
                <w:szCs w:val="24"/>
              </w:rPr>
              <w:t>Instructed by</w:t>
            </w:r>
          </w:p>
          <w:p w:rsidR="00751A8C" w:rsidRDefault="002E67DE" w:rsidP="00751A8C">
            <w:pPr>
              <w:spacing w:line="360" w:lineRule="auto"/>
              <w:jc w:val="center"/>
              <w:rPr>
                <w:rFonts w:ascii="Arial" w:hAnsi="Arial" w:cs="Arial"/>
                <w:sz w:val="24"/>
                <w:szCs w:val="24"/>
              </w:rPr>
            </w:pPr>
            <w:proofErr w:type="spellStart"/>
            <w:r w:rsidRPr="002E67DE">
              <w:rPr>
                <w:rFonts w:ascii="Arial" w:hAnsi="Arial" w:cs="Arial"/>
                <w:bCs/>
                <w:color w:val="000000"/>
                <w:spacing w:val="-3"/>
                <w:sz w:val="24"/>
                <w:szCs w:val="24"/>
                <w:lang w:val="en-GB"/>
              </w:rPr>
              <w:t>Morwe</w:t>
            </w:r>
            <w:proofErr w:type="spellEnd"/>
            <w:r w:rsidRPr="002E67DE">
              <w:rPr>
                <w:rFonts w:ascii="Arial" w:hAnsi="Arial" w:cs="Arial"/>
                <w:bCs/>
                <w:color w:val="000000"/>
                <w:spacing w:val="-3"/>
                <w:sz w:val="24"/>
                <w:szCs w:val="24"/>
                <w:lang w:val="en-GB"/>
              </w:rPr>
              <w:t xml:space="preserve"> &amp; </w:t>
            </w:r>
            <w:r>
              <w:rPr>
                <w:rFonts w:ascii="Arial" w:hAnsi="Arial" w:cs="Arial"/>
                <w:bCs/>
                <w:color w:val="000000"/>
                <w:spacing w:val="-3"/>
                <w:sz w:val="24"/>
                <w:szCs w:val="24"/>
                <w:lang w:val="en-GB"/>
              </w:rPr>
              <w:t>A</w:t>
            </w:r>
            <w:r w:rsidRPr="002E67DE">
              <w:rPr>
                <w:rFonts w:ascii="Arial" w:hAnsi="Arial" w:cs="Arial"/>
                <w:bCs/>
                <w:color w:val="000000"/>
                <w:spacing w:val="-3"/>
                <w:sz w:val="24"/>
                <w:szCs w:val="24"/>
                <w:lang w:val="en-GB"/>
              </w:rPr>
              <w:t xml:space="preserve">ssociates </w:t>
            </w:r>
            <w:r>
              <w:rPr>
                <w:rFonts w:ascii="Arial" w:hAnsi="Arial" w:cs="Arial"/>
                <w:bCs/>
                <w:color w:val="000000"/>
                <w:spacing w:val="-3"/>
                <w:sz w:val="24"/>
                <w:szCs w:val="24"/>
                <w:lang w:val="en-GB"/>
              </w:rPr>
              <w:t>I</w:t>
            </w:r>
            <w:r w:rsidRPr="002E67DE">
              <w:rPr>
                <w:rFonts w:ascii="Arial" w:hAnsi="Arial" w:cs="Arial"/>
                <w:bCs/>
                <w:color w:val="000000"/>
                <w:spacing w:val="-3"/>
                <w:sz w:val="24"/>
                <w:szCs w:val="24"/>
                <w:lang w:val="en-GB"/>
              </w:rPr>
              <w:t>ncorporated</w:t>
            </w:r>
            <w:r w:rsidR="00751A8C" w:rsidRPr="00801B03">
              <w:rPr>
                <w:rFonts w:ascii="Arial" w:hAnsi="Arial" w:cs="Arial"/>
                <w:sz w:val="24"/>
                <w:szCs w:val="24"/>
              </w:rPr>
              <w:t>,</w:t>
            </w:r>
            <w:r w:rsidR="00751A8C" w:rsidRPr="00C97B0A">
              <w:rPr>
                <w:rFonts w:ascii="Arial" w:hAnsi="Arial" w:cs="Arial"/>
                <w:sz w:val="24"/>
                <w:szCs w:val="24"/>
              </w:rPr>
              <w:t xml:space="preserve"> Windhoek</w:t>
            </w:r>
          </w:p>
          <w:p w:rsidR="00F639A4" w:rsidRPr="00C97B0A" w:rsidRDefault="00F639A4" w:rsidP="003F3D99">
            <w:pPr>
              <w:spacing w:line="360" w:lineRule="auto"/>
              <w:rPr>
                <w:rFonts w:ascii="Arial" w:hAnsi="Arial" w:cs="Arial"/>
                <w:sz w:val="24"/>
                <w:szCs w:val="24"/>
              </w:rPr>
            </w:pPr>
          </w:p>
        </w:tc>
        <w:tc>
          <w:tcPr>
            <w:tcW w:w="5423" w:type="dxa"/>
            <w:gridSpan w:val="2"/>
          </w:tcPr>
          <w:p w:rsidR="00801B03" w:rsidRPr="00801B03" w:rsidRDefault="002E67DE" w:rsidP="00751A8C">
            <w:pPr>
              <w:spacing w:line="360" w:lineRule="auto"/>
              <w:jc w:val="center"/>
              <w:rPr>
                <w:rFonts w:ascii="Arial" w:hAnsi="Arial" w:cs="Arial"/>
                <w:sz w:val="24"/>
                <w:szCs w:val="24"/>
              </w:rPr>
            </w:pPr>
            <w:r>
              <w:rPr>
                <w:rFonts w:ascii="Arial" w:hAnsi="Arial" w:cs="Arial"/>
                <w:sz w:val="24"/>
                <w:szCs w:val="24"/>
              </w:rPr>
              <w:t>T</w:t>
            </w:r>
            <w:r w:rsidR="00801B03" w:rsidRPr="00801B03">
              <w:rPr>
                <w:rFonts w:ascii="Arial" w:hAnsi="Arial" w:cs="Arial"/>
                <w:sz w:val="24"/>
                <w:szCs w:val="24"/>
              </w:rPr>
              <w:t xml:space="preserve"> </w:t>
            </w:r>
            <w:r>
              <w:rPr>
                <w:rFonts w:ascii="Arial" w:hAnsi="Arial" w:cs="Arial"/>
                <w:sz w:val="24"/>
                <w:szCs w:val="24"/>
              </w:rPr>
              <w:t>Barnard</w:t>
            </w:r>
          </w:p>
          <w:p w:rsidR="002E67DE" w:rsidRPr="00AC43A2" w:rsidRDefault="002E67DE" w:rsidP="002E67DE">
            <w:pPr>
              <w:tabs>
                <w:tab w:val="center" w:pos="2603"/>
                <w:tab w:val="left" w:pos="4476"/>
              </w:tabs>
              <w:spacing w:line="360" w:lineRule="auto"/>
              <w:jc w:val="center"/>
              <w:rPr>
                <w:rFonts w:ascii="Arial" w:hAnsi="Arial" w:cs="Arial"/>
                <w:sz w:val="24"/>
                <w:szCs w:val="24"/>
              </w:rPr>
            </w:pPr>
            <w:r>
              <w:rPr>
                <w:rFonts w:ascii="Arial" w:hAnsi="Arial" w:cs="Arial"/>
                <w:sz w:val="24"/>
                <w:szCs w:val="24"/>
              </w:rPr>
              <w:t>Instructed by</w:t>
            </w:r>
          </w:p>
          <w:p w:rsidR="00751A8C" w:rsidRPr="00C97B0A" w:rsidRDefault="002E67DE" w:rsidP="00751A8C">
            <w:pPr>
              <w:spacing w:line="360" w:lineRule="auto"/>
              <w:jc w:val="center"/>
              <w:rPr>
                <w:rFonts w:ascii="Arial" w:hAnsi="Arial" w:cs="Arial"/>
                <w:sz w:val="24"/>
                <w:szCs w:val="24"/>
              </w:rPr>
            </w:pPr>
            <w:r w:rsidRPr="002E67DE">
              <w:rPr>
                <w:rFonts w:ascii="Arial" w:hAnsi="Arial" w:cs="Arial"/>
                <w:bCs/>
                <w:color w:val="000000"/>
                <w:spacing w:val="-3"/>
                <w:sz w:val="24"/>
                <w:szCs w:val="24"/>
                <w:lang w:val="en-GB"/>
              </w:rPr>
              <w:t xml:space="preserve">Dr </w:t>
            </w:r>
            <w:proofErr w:type="spellStart"/>
            <w:r>
              <w:rPr>
                <w:rFonts w:ascii="Arial" w:hAnsi="Arial" w:cs="Arial"/>
                <w:bCs/>
                <w:color w:val="000000"/>
                <w:spacing w:val="-3"/>
                <w:sz w:val="24"/>
                <w:szCs w:val="24"/>
                <w:lang w:val="en-GB"/>
              </w:rPr>
              <w:t>W</w:t>
            </w:r>
            <w:r w:rsidRPr="002E67DE">
              <w:rPr>
                <w:rFonts w:ascii="Arial" w:hAnsi="Arial" w:cs="Arial"/>
                <w:bCs/>
                <w:color w:val="000000"/>
                <w:spacing w:val="-3"/>
                <w:sz w:val="24"/>
                <w:szCs w:val="24"/>
                <w:lang w:val="en-GB"/>
              </w:rPr>
              <w:t>eder</w:t>
            </w:r>
            <w:proofErr w:type="spellEnd"/>
            <w:r w:rsidRPr="002E67DE">
              <w:rPr>
                <w:rFonts w:ascii="Arial" w:hAnsi="Arial" w:cs="Arial"/>
                <w:bCs/>
                <w:color w:val="000000"/>
                <w:spacing w:val="-3"/>
                <w:sz w:val="24"/>
                <w:szCs w:val="24"/>
                <w:lang w:val="en-GB"/>
              </w:rPr>
              <w:t xml:space="preserve">, </w:t>
            </w:r>
            <w:proofErr w:type="spellStart"/>
            <w:r>
              <w:rPr>
                <w:rFonts w:ascii="Arial" w:hAnsi="Arial" w:cs="Arial"/>
                <w:bCs/>
                <w:color w:val="000000"/>
                <w:spacing w:val="-3"/>
                <w:sz w:val="24"/>
                <w:szCs w:val="24"/>
                <w:lang w:val="en-GB"/>
              </w:rPr>
              <w:t>K</w:t>
            </w:r>
            <w:r w:rsidRPr="002E67DE">
              <w:rPr>
                <w:rFonts w:ascii="Arial" w:hAnsi="Arial" w:cs="Arial"/>
                <w:bCs/>
                <w:color w:val="000000"/>
                <w:spacing w:val="-3"/>
                <w:sz w:val="24"/>
                <w:szCs w:val="24"/>
                <w:lang w:val="en-GB"/>
              </w:rPr>
              <w:t>auta</w:t>
            </w:r>
            <w:proofErr w:type="spellEnd"/>
            <w:r w:rsidRPr="002E67DE">
              <w:rPr>
                <w:rFonts w:ascii="Arial" w:hAnsi="Arial" w:cs="Arial"/>
                <w:bCs/>
                <w:color w:val="000000"/>
                <w:spacing w:val="-3"/>
                <w:sz w:val="24"/>
                <w:szCs w:val="24"/>
                <w:lang w:val="en-GB"/>
              </w:rPr>
              <w:t xml:space="preserve"> &amp; </w:t>
            </w:r>
            <w:proofErr w:type="spellStart"/>
            <w:r>
              <w:rPr>
                <w:rFonts w:ascii="Arial" w:hAnsi="Arial" w:cs="Arial"/>
                <w:bCs/>
                <w:color w:val="000000"/>
                <w:spacing w:val="-3"/>
                <w:sz w:val="24"/>
                <w:szCs w:val="24"/>
                <w:lang w:val="en-GB"/>
              </w:rPr>
              <w:t>H</w:t>
            </w:r>
            <w:r w:rsidRPr="002E67DE">
              <w:rPr>
                <w:rFonts w:ascii="Arial" w:hAnsi="Arial" w:cs="Arial"/>
                <w:bCs/>
                <w:color w:val="000000"/>
                <w:spacing w:val="-3"/>
                <w:sz w:val="24"/>
                <w:szCs w:val="24"/>
                <w:lang w:val="en-GB"/>
              </w:rPr>
              <w:t>oveka</w:t>
            </w:r>
            <w:proofErr w:type="spellEnd"/>
            <w:r w:rsidRPr="002E67DE">
              <w:rPr>
                <w:rFonts w:ascii="Arial" w:hAnsi="Arial" w:cs="Arial"/>
                <w:bCs/>
                <w:color w:val="000000"/>
                <w:spacing w:val="-3"/>
                <w:sz w:val="24"/>
                <w:szCs w:val="24"/>
                <w:lang w:val="en-GB"/>
              </w:rPr>
              <w:t xml:space="preserve"> </w:t>
            </w:r>
            <w:r>
              <w:rPr>
                <w:rFonts w:ascii="Arial" w:hAnsi="Arial" w:cs="Arial"/>
                <w:bCs/>
                <w:color w:val="000000"/>
                <w:spacing w:val="-3"/>
                <w:sz w:val="24"/>
                <w:szCs w:val="24"/>
                <w:lang w:val="en-GB"/>
              </w:rPr>
              <w:t>I</w:t>
            </w:r>
            <w:r w:rsidRPr="002E67DE">
              <w:rPr>
                <w:rFonts w:ascii="Arial" w:hAnsi="Arial" w:cs="Arial"/>
                <w:bCs/>
                <w:color w:val="000000"/>
                <w:spacing w:val="-3"/>
                <w:sz w:val="24"/>
                <w:szCs w:val="24"/>
                <w:lang w:val="en-GB"/>
              </w:rPr>
              <w:t>nc.</w:t>
            </w:r>
            <w:r w:rsidR="00751A8C" w:rsidRPr="002E67DE">
              <w:rPr>
                <w:rFonts w:ascii="Arial" w:hAnsi="Arial" w:cs="Arial"/>
                <w:sz w:val="24"/>
                <w:szCs w:val="24"/>
              </w:rPr>
              <w:t xml:space="preserve">, </w:t>
            </w:r>
            <w:r w:rsidR="00751A8C" w:rsidRPr="00C97B0A">
              <w:rPr>
                <w:rFonts w:ascii="Arial" w:hAnsi="Arial" w:cs="Arial"/>
                <w:sz w:val="24"/>
                <w:szCs w:val="24"/>
              </w:rPr>
              <w:t>Windhoek</w:t>
            </w:r>
          </w:p>
          <w:p w:rsidR="002A5C0F" w:rsidRPr="002A5C0F" w:rsidRDefault="002A5C0F" w:rsidP="002A5C0F">
            <w:pPr>
              <w:spacing w:line="360" w:lineRule="auto"/>
              <w:jc w:val="center"/>
              <w:rPr>
                <w:rFonts w:ascii="Arial" w:hAnsi="Arial" w:cs="Arial"/>
                <w:sz w:val="24"/>
                <w:szCs w:val="24"/>
                <w:shd w:val="clear" w:color="auto" w:fill="FFFFFF"/>
              </w:rPr>
            </w:pPr>
          </w:p>
        </w:tc>
      </w:tr>
    </w:tbl>
    <w:p w:rsidR="00B845CF" w:rsidRDefault="00B845CF" w:rsidP="0020002D">
      <w:pPr>
        <w:jc w:val="both"/>
        <w:rPr>
          <w:rFonts w:ascii="Arial" w:hAnsi="Arial" w:cs="Arial"/>
          <w:sz w:val="24"/>
          <w:szCs w:val="24"/>
        </w:rPr>
      </w:pPr>
    </w:p>
    <w:sectPr w:rsidR="00B845CF" w:rsidSect="00C97B0A">
      <w:headerReference w:type="default" r:id="rId9"/>
      <w:footerReference w:type="default" r:id="rId10"/>
      <w:pgSz w:w="11906" w:h="16838"/>
      <w:pgMar w:top="1440" w:right="1440" w:bottom="1440" w:left="1440" w:header="708" w:footer="6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FD" w:rsidRDefault="005543FD" w:rsidP="00B40844">
      <w:pPr>
        <w:spacing w:after="0" w:line="240" w:lineRule="auto"/>
      </w:pPr>
      <w:r>
        <w:separator/>
      </w:r>
    </w:p>
  </w:endnote>
  <w:endnote w:type="continuationSeparator" w:id="0">
    <w:p w:rsidR="005543FD" w:rsidRDefault="005543FD" w:rsidP="00B4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89" w:rsidRPr="00F674F4" w:rsidRDefault="00937C89">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FD" w:rsidRDefault="005543FD" w:rsidP="00B40844">
      <w:pPr>
        <w:spacing w:after="0" w:line="240" w:lineRule="auto"/>
      </w:pPr>
      <w:r>
        <w:separator/>
      </w:r>
    </w:p>
  </w:footnote>
  <w:footnote w:type="continuationSeparator" w:id="0">
    <w:p w:rsidR="005543FD" w:rsidRDefault="005543FD" w:rsidP="00B40844">
      <w:pPr>
        <w:spacing w:after="0" w:line="240" w:lineRule="auto"/>
      </w:pPr>
      <w:r>
        <w:continuationSeparator/>
      </w:r>
    </w:p>
  </w:footnote>
  <w:footnote w:id="1">
    <w:p w:rsidR="008D4A36" w:rsidRPr="008D4A36" w:rsidRDefault="008D4A36" w:rsidP="008D4A36">
      <w:pPr>
        <w:pStyle w:val="FootnoteText"/>
        <w:jc w:val="both"/>
        <w:rPr>
          <w:rFonts w:ascii="Arial" w:hAnsi="Arial" w:cs="Arial"/>
          <w:lang w:val="en-US"/>
        </w:rPr>
      </w:pPr>
      <w:r>
        <w:rPr>
          <w:rStyle w:val="FootnoteReference"/>
        </w:rPr>
        <w:footnoteRef/>
      </w:r>
      <w:r>
        <w:t xml:space="preserve"> </w:t>
      </w:r>
      <w:r w:rsidRPr="008D4A36">
        <w:rPr>
          <w:rFonts w:ascii="Arial" w:hAnsi="Arial" w:cs="Arial"/>
          <w:i/>
          <w:iCs/>
          <w:lang w:val="en-US"/>
        </w:rPr>
        <w:t xml:space="preserve">Di </w:t>
      </w:r>
      <w:proofErr w:type="spellStart"/>
      <w:r w:rsidRPr="008D4A36">
        <w:rPr>
          <w:rFonts w:ascii="Arial" w:hAnsi="Arial" w:cs="Arial"/>
          <w:i/>
          <w:iCs/>
          <w:lang w:val="en-US"/>
        </w:rPr>
        <w:t>Savino</w:t>
      </w:r>
      <w:proofErr w:type="spellEnd"/>
      <w:r w:rsidRPr="008D4A36">
        <w:rPr>
          <w:rFonts w:ascii="Arial" w:hAnsi="Arial" w:cs="Arial"/>
          <w:i/>
          <w:iCs/>
          <w:lang w:val="en-US"/>
        </w:rPr>
        <w:t xml:space="preserve"> v Nedbank Namibia Ltd</w:t>
      </w:r>
      <w:r w:rsidRPr="008D4A36">
        <w:rPr>
          <w:rFonts w:ascii="Arial" w:hAnsi="Arial" w:cs="Arial"/>
          <w:lang w:val="en-US"/>
        </w:rPr>
        <w:t xml:space="preserve"> 2017 (3) NR 880 (SC).</w:t>
      </w:r>
    </w:p>
  </w:footnote>
  <w:footnote w:id="2">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lang w:val="en-US"/>
        </w:rPr>
        <w:t xml:space="preserve">Petrus </w:t>
      </w:r>
      <w:proofErr w:type="spellStart"/>
      <w:r w:rsidRPr="008D4A36">
        <w:rPr>
          <w:rFonts w:ascii="Arial" w:hAnsi="Arial" w:cs="Arial"/>
          <w:lang w:val="en-US"/>
        </w:rPr>
        <w:t>Damaseb</w:t>
      </w:r>
      <w:proofErr w:type="spellEnd"/>
      <w:r w:rsidRPr="008D4A36">
        <w:rPr>
          <w:rFonts w:ascii="Arial" w:hAnsi="Arial" w:cs="Arial"/>
          <w:lang w:val="en-US"/>
        </w:rPr>
        <w:t xml:space="preserve"> </w:t>
      </w:r>
      <w:r w:rsidRPr="008D4A36">
        <w:rPr>
          <w:rFonts w:ascii="Arial" w:hAnsi="Arial" w:cs="Arial"/>
          <w:i/>
          <w:iCs/>
          <w:lang w:val="en-US"/>
        </w:rPr>
        <w:t>Court-Managed Civil Procedure of the High Court of Namibia: Law, Procedure and Practice</w:t>
      </w:r>
      <w:r w:rsidRPr="008D4A36">
        <w:rPr>
          <w:rFonts w:ascii="Arial" w:hAnsi="Arial" w:cs="Arial"/>
          <w:lang w:val="en-US"/>
        </w:rPr>
        <w:t xml:space="preserve"> 1ed (2020) at 219-220.</w:t>
      </w:r>
    </w:p>
  </w:footnote>
  <w:footnote w:id="3">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i/>
          <w:iCs/>
          <w:lang w:val="en-US"/>
        </w:rPr>
        <w:t xml:space="preserve">Keya v Chief of the </w:t>
      </w:r>
      <w:proofErr w:type="spellStart"/>
      <w:r w:rsidRPr="008D4A36">
        <w:rPr>
          <w:rFonts w:ascii="Arial" w:hAnsi="Arial" w:cs="Arial"/>
          <w:i/>
          <w:iCs/>
          <w:lang w:val="en-US"/>
        </w:rPr>
        <w:t>Defence</w:t>
      </w:r>
      <w:proofErr w:type="spellEnd"/>
      <w:r w:rsidRPr="008D4A36">
        <w:rPr>
          <w:rFonts w:ascii="Arial" w:hAnsi="Arial" w:cs="Arial"/>
          <w:i/>
          <w:iCs/>
          <w:lang w:val="en-US"/>
        </w:rPr>
        <w:t xml:space="preserve"> Force and Others</w:t>
      </w:r>
      <w:r w:rsidRPr="008D4A36">
        <w:rPr>
          <w:rFonts w:ascii="Arial" w:hAnsi="Arial" w:cs="Arial"/>
          <w:lang w:val="en-US"/>
        </w:rPr>
        <w:t xml:space="preserve"> 2013 (3) NR 770 (SC) para 21.</w:t>
      </w:r>
    </w:p>
  </w:footnote>
  <w:footnote w:id="4">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lang w:val="en-US"/>
        </w:rPr>
        <w:t>Para 22.</w:t>
      </w:r>
    </w:p>
  </w:footnote>
  <w:footnote w:id="5">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i/>
          <w:iCs/>
          <w:lang w:val="en-US"/>
        </w:rPr>
        <w:t>President of the Republic of Namibia and Others v Anhui Foreign Economic Construction Group Corporation Ltd and Another</w:t>
      </w:r>
      <w:r w:rsidRPr="008D4A36">
        <w:rPr>
          <w:rFonts w:ascii="Arial" w:hAnsi="Arial" w:cs="Arial"/>
          <w:lang w:val="en-US"/>
        </w:rPr>
        <w:t xml:space="preserve"> 2017 (2) NR 340 (SC).</w:t>
      </w:r>
    </w:p>
  </w:footnote>
  <w:footnote w:id="6">
    <w:p w:rsidR="008D4A36" w:rsidRPr="008D4A36" w:rsidRDefault="008D4A36" w:rsidP="008D4A36">
      <w:pPr>
        <w:pStyle w:val="FootnoteText"/>
        <w:jc w:val="both"/>
        <w:rPr>
          <w:rFonts w:ascii="Arial" w:hAnsi="Arial" w:cs="Arial"/>
          <w:i/>
          <w:iCs/>
          <w:lang w:val="en-US"/>
        </w:rPr>
      </w:pPr>
      <w:r w:rsidRPr="008D4A36">
        <w:rPr>
          <w:rStyle w:val="FootnoteReference"/>
          <w:rFonts w:ascii="Arial" w:hAnsi="Arial" w:cs="Arial"/>
        </w:rPr>
        <w:footnoteRef/>
      </w:r>
      <w:r w:rsidRPr="008D4A36">
        <w:rPr>
          <w:rFonts w:ascii="Arial" w:hAnsi="Arial" w:cs="Arial"/>
        </w:rPr>
        <w:t xml:space="preserve"> </w:t>
      </w:r>
      <w:proofErr w:type="spellStart"/>
      <w:r w:rsidRPr="008D4A36">
        <w:rPr>
          <w:rFonts w:ascii="Arial" w:hAnsi="Arial" w:cs="Arial"/>
          <w:i/>
          <w:iCs/>
          <w:lang w:val="en-US"/>
        </w:rPr>
        <w:t>Oudekraal</w:t>
      </w:r>
      <w:proofErr w:type="spellEnd"/>
      <w:r w:rsidRPr="008D4A36">
        <w:rPr>
          <w:rFonts w:ascii="Arial" w:hAnsi="Arial" w:cs="Arial"/>
          <w:i/>
          <w:iCs/>
          <w:lang w:val="en-US"/>
        </w:rPr>
        <w:t xml:space="preserve"> Estates (Pty) Ltd v City of Cape Town </w:t>
      </w:r>
      <w:r w:rsidRPr="008D4A36">
        <w:rPr>
          <w:rFonts w:ascii="Arial" w:hAnsi="Arial" w:cs="Arial"/>
          <w:lang w:val="en-US"/>
        </w:rPr>
        <w:t xml:space="preserve">2004 (6) SA 222 (SCA); approved by the Supreme Court in several cases, </w:t>
      </w:r>
      <w:proofErr w:type="spellStart"/>
      <w:r w:rsidRPr="008D4A36">
        <w:rPr>
          <w:rFonts w:ascii="Arial" w:hAnsi="Arial" w:cs="Arial"/>
          <w:lang w:val="en-US"/>
        </w:rPr>
        <w:t>eg</w:t>
      </w:r>
      <w:proofErr w:type="spellEnd"/>
      <w:r w:rsidRPr="008D4A36">
        <w:rPr>
          <w:rFonts w:ascii="Arial" w:hAnsi="Arial" w:cs="Arial"/>
          <w:lang w:val="en-US"/>
        </w:rPr>
        <w:t xml:space="preserve"> </w:t>
      </w:r>
      <w:r w:rsidRPr="008D4A36">
        <w:rPr>
          <w:rFonts w:ascii="Arial" w:hAnsi="Arial" w:cs="Arial"/>
          <w:i/>
          <w:iCs/>
          <w:lang w:val="en-US"/>
        </w:rPr>
        <w:t>President of the Republic of Namibia v Anhui Foreign Economic Construction Group Corporation and Another</w:t>
      </w:r>
      <w:r w:rsidRPr="008D4A36">
        <w:rPr>
          <w:rFonts w:ascii="Arial" w:hAnsi="Arial" w:cs="Arial"/>
          <w:lang w:val="en-US"/>
        </w:rPr>
        <w:t xml:space="preserve"> footnote 5.</w:t>
      </w:r>
    </w:p>
  </w:footnote>
  <w:footnote w:id="7">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i/>
          <w:iCs/>
          <w:lang w:val="en-US"/>
        </w:rPr>
        <w:t>President of the Republic of Namibia and Others v Anhui Foreign Economic Construction Group Corporation Ltd and Another</w:t>
      </w:r>
      <w:r w:rsidRPr="008D4A36">
        <w:rPr>
          <w:rFonts w:ascii="Arial" w:hAnsi="Arial" w:cs="Arial"/>
          <w:lang w:val="en-US"/>
        </w:rPr>
        <w:t xml:space="preserve"> footnote 5 para 49.</w:t>
      </w:r>
    </w:p>
  </w:footnote>
  <w:footnote w:id="8">
    <w:p w:rsidR="008D4A36" w:rsidRPr="008D4A36" w:rsidRDefault="008D4A36" w:rsidP="008D4A36">
      <w:pPr>
        <w:pStyle w:val="FootnoteText"/>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i/>
          <w:iCs/>
          <w:lang w:val="en-US"/>
        </w:rPr>
        <w:t>Shoprite Namibia (Pty) Ltd v Namibia Food and Allied Workers Union and Another</w:t>
      </w:r>
      <w:r w:rsidRPr="008D4A36">
        <w:rPr>
          <w:rFonts w:ascii="Arial" w:hAnsi="Arial" w:cs="Arial"/>
          <w:lang w:val="en-US"/>
        </w:rPr>
        <w:t xml:space="preserve"> 2022 (2) NR 325 (SC) paras 37-40.</w:t>
      </w:r>
    </w:p>
  </w:footnote>
  <w:footnote w:id="9">
    <w:p w:rsidR="008D4A36" w:rsidRPr="00CB1C83" w:rsidRDefault="008D4A36" w:rsidP="00CB1C83">
      <w:pPr>
        <w:pStyle w:val="FootnoteText"/>
        <w:rPr>
          <w:rFonts w:ascii="Arial" w:hAnsi="Arial" w:cs="Arial"/>
          <w:lang w:val="en-US"/>
        </w:rPr>
      </w:pPr>
      <w:r w:rsidRPr="00CB1C83">
        <w:rPr>
          <w:rStyle w:val="FootnoteReference"/>
          <w:rFonts w:ascii="Arial" w:hAnsi="Arial" w:cs="Arial"/>
        </w:rPr>
        <w:footnoteRef/>
      </w:r>
      <w:r w:rsidR="00CB1C83" w:rsidRPr="00CB1C83">
        <w:rPr>
          <w:rFonts w:ascii="Arial" w:hAnsi="Arial" w:cs="Arial"/>
          <w:i/>
        </w:rPr>
        <w:t>Nolte v The Minister of Environment, Forestry and Tourism</w:t>
      </w:r>
      <w:r w:rsidR="00CB1C83">
        <w:rPr>
          <w:rFonts w:ascii="Arial" w:hAnsi="Arial" w:cs="Arial"/>
          <w:i/>
        </w:rPr>
        <w:t xml:space="preserve"> </w:t>
      </w:r>
      <w:r w:rsidR="00CB1C83">
        <w:rPr>
          <w:rFonts w:ascii="Arial" w:hAnsi="Arial" w:cs="Arial"/>
        </w:rPr>
        <w:t>[</w:t>
      </w:r>
      <w:r w:rsidR="00CB1C83" w:rsidRPr="00CB1C83">
        <w:rPr>
          <w:rFonts w:ascii="Arial" w:hAnsi="Arial" w:cs="Arial"/>
        </w:rPr>
        <w:t>2023] NAHCMD 361 (28 June 2023)</w:t>
      </w:r>
      <w:r w:rsidR="00CB1C83">
        <w:rPr>
          <w:rFonts w:ascii="Arial" w:hAnsi="Arial" w:cs="Arial"/>
        </w:rPr>
        <w:t>.</w:t>
      </w:r>
    </w:p>
  </w:footnote>
  <w:footnote w:id="10">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lang w:val="en-US"/>
        </w:rPr>
        <w:t xml:space="preserve">Etienne </w:t>
      </w:r>
      <w:proofErr w:type="spellStart"/>
      <w:r w:rsidRPr="008D4A36">
        <w:rPr>
          <w:rFonts w:ascii="Arial" w:hAnsi="Arial" w:cs="Arial"/>
          <w:lang w:val="en-US"/>
        </w:rPr>
        <w:t>Mureinik</w:t>
      </w:r>
      <w:proofErr w:type="spellEnd"/>
      <w:r w:rsidRPr="008D4A36">
        <w:rPr>
          <w:rFonts w:ascii="Arial" w:hAnsi="Arial" w:cs="Arial"/>
          <w:lang w:val="en-US"/>
        </w:rPr>
        <w:t xml:space="preserve"> ‘Administrative Law in South Africa’. </w:t>
      </w:r>
      <w:r w:rsidRPr="008D4A36">
        <w:rPr>
          <w:rFonts w:ascii="Arial" w:hAnsi="Arial" w:cs="Arial"/>
          <w:i/>
          <w:iCs/>
          <w:lang w:val="en-US"/>
        </w:rPr>
        <w:t>SALJ</w:t>
      </w:r>
      <w:r w:rsidRPr="008D4A36">
        <w:rPr>
          <w:rFonts w:ascii="Arial" w:hAnsi="Arial" w:cs="Arial"/>
          <w:lang w:val="en-US"/>
        </w:rPr>
        <w:t xml:space="preserve"> Vol 103 (1986) at 615-645, applied in </w:t>
      </w:r>
      <w:r w:rsidRPr="008D4A36">
        <w:rPr>
          <w:rFonts w:ascii="Arial" w:hAnsi="Arial" w:cs="Arial"/>
          <w:i/>
          <w:iCs/>
          <w:lang w:val="en-US"/>
        </w:rPr>
        <w:t>Nolte v Minister of Environment Forestry and Tourism</w:t>
      </w:r>
      <w:r w:rsidR="00CB1C83">
        <w:rPr>
          <w:rFonts w:ascii="Arial" w:hAnsi="Arial" w:cs="Arial"/>
          <w:lang w:val="en-US"/>
        </w:rPr>
        <w:t xml:space="preserve"> footnote 9</w:t>
      </w:r>
      <w:r w:rsidRPr="008D4A36">
        <w:rPr>
          <w:rFonts w:ascii="Arial" w:hAnsi="Arial" w:cs="Arial"/>
          <w:lang w:val="en-US"/>
        </w:rPr>
        <w:t xml:space="preserve">; </w:t>
      </w:r>
      <w:proofErr w:type="spellStart"/>
      <w:r w:rsidRPr="008D4A36">
        <w:rPr>
          <w:rFonts w:ascii="Arial" w:hAnsi="Arial" w:cs="Arial"/>
          <w:i/>
          <w:iCs/>
          <w:lang w:val="en-US"/>
        </w:rPr>
        <w:t>Viljoen</w:t>
      </w:r>
      <w:proofErr w:type="spellEnd"/>
      <w:r w:rsidRPr="008D4A36">
        <w:rPr>
          <w:rFonts w:ascii="Arial" w:hAnsi="Arial" w:cs="Arial"/>
          <w:i/>
          <w:iCs/>
          <w:lang w:val="en-US"/>
        </w:rPr>
        <w:t xml:space="preserve"> v Chairperson, Immigration Selection Board and Another</w:t>
      </w:r>
      <w:r w:rsidRPr="008D4A36">
        <w:rPr>
          <w:rFonts w:ascii="Arial" w:hAnsi="Arial" w:cs="Arial"/>
          <w:lang w:val="en-US"/>
        </w:rPr>
        <w:t xml:space="preserve"> 2017 (1) NR 132 (HC) para 20.</w:t>
      </w:r>
    </w:p>
  </w:footnote>
  <w:footnote w:id="11">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i/>
          <w:iCs/>
          <w:lang w:val="en-US"/>
        </w:rPr>
        <w:t>Federal Convention of Namibia v Speaker, National Assembly of Namibia and Others</w:t>
      </w:r>
      <w:r w:rsidRPr="008D4A36">
        <w:rPr>
          <w:rFonts w:ascii="Arial" w:hAnsi="Arial" w:cs="Arial"/>
          <w:lang w:val="en-US"/>
        </w:rPr>
        <w:t xml:space="preserve"> 1994 (1) SA 177 (</w:t>
      </w:r>
      <w:proofErr w:type="spellStart"/>
      <w:r w:rsidRPr="008D4A36">
        <w:rPr>
          <w:rFonts w:ascii="Arial" w:hAnsi="Arial" w:cs="Arial"/>
          <w:lang w:val="en-US"/>
        </w:rPr>
        <w:t>NmH</w:t>
      </w:r>
      <w:proofErr w:type="spellEnd"/>
      <w:r w:rsidRPr="008D4A36">
        <w:rPr>
          <w:rFonts w:ascii="Arial" w:hAnsi="Arial" w:cs="Arial"/>
          <w:lang w:val="en-US"/>
        </w:rPr>
        <w:t>) at 197G.</w:t>
      </w:r>
    </w:p>
  </w:footnote>
  <w:footnote w:id="12">
    <w:p w:rsidR="008D4A36" w:rsidRPr="008D4A36" w:rsidRDefault="008D4A36" w:rsidP="008D4A36">
      <w:pPr>
        <w:pStyle w:val="FootnoteText"/>
        <w:jc w:val="both"/>
        <w:rPr>
          <w:rFonts w:ascii="Arial" w:hAnsi="Arial" w:cs="Arial"/>
          <w:lang w:val="en-US"/>
        </w:rPr>
      </w:pPr>
      <w:r w:rsidRPr="008D4A36">
        <w:rPr>
          <w:rStyle w:val="FootnoteReference"/>
          <w:rFonts w:ascii="Arial" w:hAnsi="Arial" w:cs="Arial"/>
        </w:rPr>
        <w:footnoteRef/>
      </w:r>
      <w:r w:rsidRPr="008D4A36">
        <w:rPr>
          <w:rFonts w:ascii="Arial" w:hAnsi="Arial" w:cs="Arial"/>
        </w:rPr>
        <w:t xml:space="preserve"> </w:t>
      </w:r>
      <w:r w:rsidRPr="008D4A36">
        <w:rPr>
          <w:rFonts w:ascii="Arial" w:hAnsi="Arial" w:cs="Arial"/>
          <w:lang w:val="en-US"/>
        </w:rPr>
        <w:t>See para [11]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72449738"/>
      <w:docPartObj>
        <w:docPartGallery w:val="Page Numbers (Top of Page)"/>
        <w:docPartUnique/>
      </w:docPartObj>
    </w:sdtPr>
    <w:sdtEndPr>
      <w:rPr>
        <w:noProof/>
      </w:rPr>
    </w:sdtEndPr>
    <w:sdtContent>
      <w:p w:rsidR="000302C5" w:rsidRPr="00D84700" w:rsidRDefault="000302C5">
        <w:pPr>
          <w:pStyle w:val="Header"/>
          <w:jc w:val="right"/>
          <w:rPr>
            <w:rFonts w:ascii="Arial" w:hAnsi="Arial" w:cs="Arial"/>
            <w:sz w:val="24"/>
            <w:szCs w:val="24"/>
          </w:rPr>
        </w:pPr>
        <w:r w:rsidRPr="00D84700">
          <w:rPr>
            <w:rFonts w:ascii="Arial" w:hAnsi="Arial" w:cs="Arial"/>
            <w:sz w:val="24"/>
            <w:szCs w:val="24"/>
          </w:rPr>
          <w:fldChar w:fldCharType="begin"/>
        </w:r>
        <w:r w:rsidRPr="00D84700">
          <w:rPr>
            <w:rFonts w:ascii="Arial" w:hAnsi="Arial" w:cs="Arial"/>
            <w:sz w:val="24"/>
            <w:szCs w:val="24"/>
          </w:rPr>
          <w:instrText xml:space="preserve"> PAGE   \* MERGEFORMAT </w:instrText>
        </w:r>
        <w:r w:rsidRPr="00D84700">
          <w:rPr>
            <w:rFonts w:ascii="Arial" w:hAnsi="Arial" w:cs="Arial"/>
            <w:sz w:val="24"/>
            <w:szCs w:val="24"/>
          </w:rPr>
          <w:fldChar w:fldCharType="separate"/>
        </w:r>
        <w:r w:rsidR="00E10B88">
          <w:rPr>
            <w:rFonts w:ascii="Arial" w:hAnsi="Arial" w:cs="Arial"/>
            <w:noProof/>
            <w:sz w:val="24"/>
            <w:szCs w:val="24"/>
          </w:rPr>
          <w:t>9</w:t>
        </w:r>
        <w:r w:rsidRPr="00D84700">
          <w:rPr>
            <w:rFonts w:ascii="Arial" w:hAnsi="Arial" w:cs="Arial"/>
            <w:noProof/>
            <w:sz w:val="24"/>
            <w:szCs w:val="24"/>
          </w:rPr>
          <w:fldChar w:fldCharType="end"/>
        </w:r>
      </w:p>
    </w:sdtContent>
  </w:sdt>
  <w:p w:rsidR="000302C5" w:rsidRDefault="00030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584"/>
    <w:multiLevelType w:val="hybridMultilevel"/>
    <w:tmpl w:val="BB623718"/>
    <w:lvl w:ilvl="0" w:tplc="294CA37C">
      <w:start w:val="1"/>
      <w:numFmt w:val="decimal"/>
      <w:lvlText w:val="%1."/>
      <w:lvlJc w:val="left"/>
      <w:pPr>
        <w:ind w:left="455" w:hanging="435"/>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002E0581"/>
    <w:multiLevelType w:val="hybridMultilevel"/>
    <w:tmpl w:val="B426A390"/>
    <w:lvl w:ilvl="0" w:tplc="0409000F">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 w15:restartNumberingAfterBreak="0">
    <w:nsid w:val="04B82690"/>
    <w:multiLevelType w:val="hybridMultilevel"/>
    <w:tmpl w:val="77A4533A"/>
    <w:lvl w:ilvl="0" w:tplc="CD98B92C">
      <w:start w:val="1"/>
      <w:numFmt w:val="lowerLetter"/>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3" w15:restartNumberingAfterBreak="0">
    <w:nsid w:val="0E9774CA"/>
    <w:multiLevelType w:val="hybridMultilevel"/>
    <w:tmpl w:val="330A86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A27ADF"/>
    <w:multiLevelType w:val="hybridMultilevel"/>
    <w:tmpl w:val="A8F2CD94"/>
    <w:lvl w:ilvl="0" w:tplc="F7BEEA5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35F5676"/>
    <w:multiLevelType w:val="hybridMultilevel"/>
    <w:tmpl w:val="41F261F6"/>
    <w:lvl w:ilvl="0" w:tplc="3C587DFA">
      <w:start w:val="1"/>
      <w:numFmt w:val="decimal"/>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2216604D"/>
    <w:multiLevelType w:val="hybridMultilevel"/>
    <w:tmpl w:val="FB84B9F6"/>
    <w:lvl w:ilvl="0" w:tplc="8752B99A">
      <w:start w:val="1"/>
      <w:numFmt w:val="decimal"/>
      <w:lvlText w:val="%1."/>
      <w:lvlJc w:val="left"/>
      <w:pPr>
        <w:ind w:left="5845" w:hanging="600"/>
      </w:pPr>
      <w:rPr>
        <w:rFonts w:hint="default"/>
      </w:rPr>
    </w:lvl>
    <w:lvl w:ilvl="1" w:tplc="1C090019" w:tentative="1">
      <w:start w:val="1"/>
      <w:numFmt w:val="lowerLetter"/>
      <w:lvlText w:val="%2."/>
      <w:lvlJc w:val="left"/>
      <w:pPr>
        <w:ind w:left="6325" w:hanging="360"/>
      </w:pPr>
    </w:lvl>
    <w:lvl w:ilvl="2" w:tplc="1C09001B" w:tentative="1">
      <w:start w:val="1"/>
      <w:numFmt w:val="lowerRoman"/>
      <w:lvlText w:val="%3."/>
      <w:lvlJc w:val="right"/>
      <w:pPr>
        <w:ind w:left="7045" w:hanging="180"/>
      </w:pPr>
    </w:lvl>
    <w:lvl w:ilvl="3" w:tplc="1C09000F" w:tentative="1">
      <w:start w:val="1"/>
      <w:numFmt w:val="decimal"/>
      <w:lvlText w:val="%4."/>
      <w:lvlJc w:val="left"/>
      <w:pPr>
        <w:ind w:left="7765" w:hanging="360"/>
      </w:pPr>
    </w:lvl>
    <w:lvl w:ilvl="4" w:tplc="1C090019" w:tentative="1">
      <w:start w:val="1"/>
      <w:numFmt w:val="lowerLetter"/>
      <w:lvlText w:val="%5."/>
      <w:lvlJc w:val="left"/>
      <w:pPr>
        <w:ind w:left="8485" w:hanging="360"/>
      </w:pPr>
    </w:lvl>
    <w:lvl w:ilvl="5" w:tplc="1C09001B" w:tentative="1">
      <w:start w:val="1"/>
      <w:numFmt w:val="lowerRoman"/>
      <w:lvlText w:val="%6."/>
      <w:lvlJc w:val="right"/>
      <w:pPr>
        <w:ind w:left="9205" w:hanging="180"/>
      </w:pPr>
    </w:lvl>
    <w:lvl w:ilvl="6" w:tplc="1C09000F" w:tentative="1">
      <w:start w:val="1"/>
      <w:numFmt w:val="decimal"/>
      <w:lvlText w:val="%7."/>
      <w:lvlJc w:val="left"/>
      <w:pPr>
        <w:ind w:left="9925" w:hanging="360"/>
      </w:pPr>
    </w:lvl>
    <w:lvl w:ilvl="7" w:tplc="1C090019" w:tentative="1">
      <w:start w:val="1"/>
      <w:numFmt w:val="lowerLetter"/>
      <w:lvlText w:val="%8."/>
      <w:lvlJc w:val="left"/>
      <w:pPr>
        <w:ind w:left="10645" w:hanging="360"/>
      </w:pPr>
    </w:lvl>
    <w:lvl w:ilvl="8" w:tplc="1C09001B" w:tentative="1">
      <w:start w:val="1"/>
      <w:numFmt w:val="lowerRoman"/>
      <w:lvlText w:val="%9."/>
      <w:lvlJc w:val="right"/>
      <w:pPr>
        <w:ind w:left="11365" w:hanging="180"/>
      </w:pPr>
    </w:lvl>
  </w:abstractNum>
  <w:abstractNum w:abstractNumId="7" w15:restartNumberingAfterBreak="0">
    <w:nsid w:val="25655903"/>
    <w:multiLevelType w:val="hybridMultilevel"/>
    <w:tmpl w:val="2B408DD0"/>
    <w:lvl w:ilvl="0" w:tplc="6756A4F8">
      <w:start w:val="1"/>
      <w:numFmt w:val="decimal"/>
      <w:lvlText w:val="[%1]"/>
      <w:lvlJc w:val="left"/>
      <w:pPr>
        <w:ind w:left="1636" w:hanging="360"/>
      </w:pPr>
      <w:rPr>
        <w:rFonts w:hint="default"/>
        <w:i w:val="0"/>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2E814CAE"/>
    <w:multiLevelType w:val="hybridMultilevel"/>
    <w:tmpl w:val="1A48AD02"/>
    <w:lvl w:ilvl="0" w:tplc="BF1C47F0">
      <w:start w:val="1"/>
      <w:numFmt w:val="decimal"/>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38C34F4F"/>
    <w:multiLevelType w:val="hybridMultilevel"/>
    <w:tmpl w:val="AFFAA764"/>
    <w:lvl w:ilvl="0" w:tplc="947E1C80">
      <w:start w:val="1"/>
      <w:numFmt w:val="lowerLetter"/>
      <w:lvlText w:val="(%1)"/>
      <w:lvlJc w:val="left"/>
      <w:pPr>
        <w:ind w:left="945" w:hanging="585"/>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900F2"/>
    <w:multiLevelType w:val="hybridMultilevel"/>
    <w:tmpl w:val="EB6AC1A2"/>
    <w:lvl w:ilvl="0" w:tplc="CFD80FC2">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41CF6172"/>
    <w:multiLevelType w:val="hybridMultilevel"/>
    <w:tmpl w:val="1646DD16"/>
    <w:lvl w:ilvl="0" w:tplc="90D6DD0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8F93CAC"/>
    <w:multiLevelType w:val="hybridMultilevel"/>
    <w:tmpl w:val="343E8924"/>
    <w:lvl w:ilvl="0" w:tplc="294CA37C">
      <w:start w:val="1"/>
      <w:numFmt w:val="decimal"/>
      <w:lvlText w:val="%1."/>
      <w:lvlJc w:val="left"/>
      <w:pPr>
        <w:ind w:left="455" w:hanging="435"/>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3" w15:restartNumberingAfterBreak="0">
    <w:nsid w:val="57837C55"/>
    <w:multiLevelType w:val="hybridMultilevel"/>
    <w:tmpl w:val="79C4B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15689"/>
    <w:multiLevelType w:val="hybridMultilevel"/>
    <w:tmpl w:val="1A48AD02"/>
    <w:lvl w:ilvl="0" w:tplc="BF1C47F0">
      <w:start w:val="1"/>
      <w:numFmt w:val="decimal"/>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5" w15:restartNumberingAfterBreak="0">
    <w:nsid w:val="5EA10267"/>
    <w:multiLevelType w:val="hybridMultilevel"/>
    <w:tmpl w:val="7B641542"/>
    <w:lvl w:ilvl="0" w:tplc="BA1E910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00D2C1C"/>
    <w:multiLevelType w:val="hybridMultilevel"/>
    <w:tmpl w:val="BAA26668"/>
    <w:lvl w:ilvl="0" w:tplc="0B54079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3"/>
  </w:num>
  <w:num w:numId="3">
    <w:abstractNumId w:val="12"/>
  </w:num>
  <w:num w:numId="4">
    <w:abstractNumId w:val="2"/>
  </w:num>
  <w:num w:numId="5">
    <w:abstractNumId w:val="1"/>
  </w:num>
  <w:num w:numId="6">
    <w:abstractNumId w:val="10"/>
  </w:num>
  <w:num w:numId="7">
    <w:abstractNumId w:val="9"/>
  </w:num>
  <w:num w:numId="8">
    <w:abstractNumId w:val="6"/>
  </w:num>
  <w:num w:numId="9">
    <w:abstractNumId w:val="7"/>
  </w:num>
  <w:num w:numId="10">
    <w:abstractNumId w:val="4"/>
  </w:num>
  <w:num w:numId="11">
    <w:abstractNumId w:val="15"/>
  </w:num>
  <w:num w:numId="12">
    <w:abstractNumId w:val="11"/>
  </w:num>
  <w:num w:numId="13">
    <w:abstractNumId w:val="8"/>
  </w:num>
  <w:num w:numId="14">
    <w:abstractNumId w:val="14"/>
  </w:num>
  <w:num w:numId="15">
    <w:abstractNumId w:val="5"/>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44"/>
    <w:rsid w:val="000142CE"/>
    <w:rsid w:val="00014BC7"/>
    <w:rsid w:val="00015808"/>
    <w:rsid w:val="00015DC1"/>
    <w:rsid w:val="00017ED7"/>
    <w:rsid w:val="00024F0E"/>
    <w:rsid w:val="000251A0"/>
    <w:rsid w:val="000302C5"/>
    <w:rsid w:val="000307BF"/>
    <w:rsid w:val="00030A66"/>
    <w:rsid w:val="00037DF6"/>
    <w:rsid w:val="00052806"/>
    <w:rsid w:val="00053646"/>
    <w:rsid w:val="00054121"/>
    <w:rsid w:val="00054476"/>
    <w:rsid w:val="00061FF7"/>
    <w:rsid w:val="00072DED"/>
    <w:rsid w:val="00074BC3"/>
    <w:rsid w:val="00081C03"/>
    <w:rsid w:val="00083D1A"/>
    <w:rsid w:val="00086660"/>
    <w:rsid w:val="000870AB"/>
    <w:rsid w:val="00087C9A"/>
    <w:rsid w:val="000929C5"/>
    <w:rsid w:val="000A4A97"/>
    <w:rsid w:val="000A5883"/>
    <w:rsid w:val="000A6674"/>
    <w:rsid w:val="000A66B9"/>
    <w:rsid w:val="000A6E7F"/>
    <w:rsid w:val="000B631E"/>
    <w:rsid w:val="000C242C"/>
    <w:rsid w:val="000C65B1"/>
    <w:rsid w:val="000C78FC"/>
    <w:rsid w:val="000D1E65"/>
    <w:rsid w:val="000D7F90"/>
    <w:rsid w:val="000E5171"/>
    <w:rsid w:val="000F238E"/>
    <w:rsid w:val="000F2C4D"/>
    <w:rsid w:val="000F39A3"/>
    <w:rsid w:val="000F681E"/>
    <w:rsid w:val="00100322"/>
    <w:rsid w:val="00115ABC"/>
    <w:rsid w:val="00116AFB"/>
    <w:rsid w:val="0011768F"/>
    <w:rsid w:val="001223B7"/>
    <w:rsid w:val="00124C63"/>
    <w:rsid w:val="0012642A"/>
    <w:rsid w:val="00127391"/>
    <w:rsid w:val="00141350"/>
    <w:rsid w:val="00152FEA"/>
    <w:rsid w:val="00153C0E"/>
    <w:rsid w:val="00171AE2"/>
    <w:rsid w:val="00175DB1"/>
    <w:rsid w:val="0018718C"/>
    <w:rsid w:val="00193C9D"/>
    <w:rsid w:val="00194D09"/>
    <w:rsid w:val="001A3B00"/>
    <w:rsid w:val="001A4504"/>
    <w:rsid w:val="001B3825"/>
    <w:rsid w:val="001B494D"/>
    <w:rsid w:val="001D4603"/>
    <w:rsid w:val="001D6E3B"/>
    <w:rsid w:val="001E097B"/>
    <w:rsid w:val="001E1B4A"/>
    <w:rsid w:val="001E1D33"/>
    <w:rsid w:val="0020002D"/>
    <w:rsid w:val="00200E53"/>
    <w:rsid w:val="00203716"/>
    <w:rsid w:val="00206B05"/>
    <w:rsid w:val="00212413"/>
    <w:rsid w:val="002124D3"/>
    <w:rsid w:val="002125C7"/>
    <w:rsid w:val="0021762B"/>
    <w:rsid w:val="00217744"/>
    <w:rsid w:val="00217A1C"/>
    <w:rsid w:val="002225CB"/>
    <w:rsid w:val="00224808"/>
    <w:rsid w:val="00225C54"/>
    <w:rsid w:val="00227247"/>
    <w:rsid w:val="002317B0"/>
    <w:rsid w:val="00231ABE"/>
    <w:rsid w:val="002338D0"/>
    <w:rsid w:val="0023549A"/>
    <w:rsid w:val="00236F6F"/>
    <w:rsid w:val="00241115"/>
    <w:rsid w:val="002411C1"/>
    <w:rsid w:val="00241A31"/>
    <w:rsid w:val="002536EA"/>
    <w:rsid w:val="002547AC"/>
    <w:rsid w:val="002647A1"/>
    <w:rsid w:val="00276736"/>
    <w:rsid w:val="00282DB5"/>
    <w:rsid w:val="002836DF"/>
    <w:rsid w:val="002865F4"/>
    <w:rsid w:val="002A4AA3"/>
    <w:rsid w:val="002A5C0F"/>
    <w:rsid w:val="002B38E0"/>
    <w:rsid w:val="002B397D"/>
    <w:rsid w:val="002B5BB9"/>
    <w:rsid w:val="002C1EF6"/>
    <w:rsid w:val="002D0359"/>
    <w:rsid w:val="002D20C5"/>
    <w:rsid w:val="002D6167"/>
    <w:rsid w:val="002E1151"/>
    <w:rsid w:val="002E123F"/>
    <w:rsid w:val="002E198E"/>
    <w:rsid w:val="002E64D8"/>
    <w:rsid w:val="002E67DE"/>
    <w:rsid w:val="002E738E"/>
    <w:rsid w:val="002F0692"/>
    <w:rsid w:val="00302D40"/>
    <w:rsid w:val="00307DB3"/>
    <w:rsid w:val="00312E51"/>
    <w:rsid w:val="0031523D"/>
    <w:rsid w:val="00322F39"/>
    <w:rsid w:val="00323AAF"/>
    <w:rsid w:val="00323E22"/>
    <w:rsid w:val="00325533"/>
    <w:rsid w:val="00340EA6"/>
    <w:rsid w:val="00346B7A"/>
    <w:rsid w:val="00351565"/>
    <w:rsid w:val="0035394D"/>
    <w:rsid w:val="00360DBA"/>
    <w:rsid w:val="00362C10"/>
    <w:rsid w:val="00371B8F"/>
    <w:rsid w:val="003750B1"/>
    <w:rsid w:val="0038382D"/>
    <w:rsid w:val="00386207"/>
    <w:rsid w:val="00387B29"/>
    <w:rsid w:val="003917AF"/>
    <w:rsid w:val="003A06B6"/>
    <w:rsid w:val="003A18AD"/>
    <w:rsid w:val="003B09B0"/>
    <w:rsid w:val="003B0F1E"/>
    <w:rsid w:val="003C2574"/>
    <w:rsid w:val="003D165C"/>
    <w:rsid w:val="003D3059"/>
    <w:rsid w:val="003D4C26"/>
    <w:rsid w:val="003E01ED"/>
    <w:rsid w:val="003F0DD3"/>
    <w:rsid w:val="003F3D99"/>
    <w:rsid w:val="00404B70"/>
    <w:rsid w:val="00412278"/>
    <w:rsid w:val="0041573E"/>
    <w:rsid w:val="004163B1"/>
    <w:rsid w:val="0041723B"/>
    <w:rsid w:val="00421B60"/>
    <w:rsid w:val="00422931"/>
    <w:rsid w:val="00426C60"/>
    <w:rsid w:val="00426F4B"/>
    <w:rsid w:val="00431A65"/>
    <w:rsid w:val="004352E5"/>
    <w:rsid w:val="004358E2"/>
    <w:rsid w:val="00435D03"/>
    <w:rsid w:val="00436C2B"/>
    <w:rsid w:val="00440F37"/>
    <w:rsid w:val="00463486"/>
    <w:rsid w:val="004665B1"/>
    <w:rsid w:val="00466B36"/>
    <w:rsid w:val="00474C2A"/>
    <w:rsid w:val="004758AA"/>
    <w:rsid w:val="00475B7A"/>
    <w:rsid w:val="00481A0D"/>
    <w:rsid w:val="00483964"/>
    <w:rsid w:val="0048441F"/>
    <w:rsid w:val="004907E4"/>
    <w:rsid w:val="004936A7"/>
    <w:rsid w:val="00493F46"/>
    <w:rsid w:val="004974DF"/>
    <w:rsid w:val="004A2D48"/>
    <w:rsid w:val="004B2315"/>
    <w:rsid w:val="004B6C36"/>
    <w:rsid w:val="004C59BB"/>
    <w:rsid w:val="004C646F"/>
    <w:rsid w:val="004E2A2B"/>
    <w:rsid w:val="004E2D04"/>
    <w:rsid w:val="004E5347"/>
    <w:rsid w:val="004F27A8"/>
    <w:rsid w:val="004F4867"/>
    <w:rsid w:val="004F73A0"/>
    <w:rsid w:val="00501F59"/>
    <w:rsid w:val="00503F36"/>
    <w:rsid w:val="00505256"/>
    <w:rsid w:val="00513783"/>
    <w:rsid w:val="0052303D"/>
    <w:rsid w:val="005234D3"/>
    <w:rsid w:val="00535F29"/>
    <w:rsid w:val="00536EFF"/>
    <w:rsid w:val="005408B2"/>
    <w:rsid w:val="005435B4"/>
    <w:rsid w:val="005543FD"/>
    <w:rsid w:val="00556E43"/>
    <w:rsid w:val="005629DA"/>
    <w:rsid w:val="005860DF"/>
    <w:rsid w:val="0059070D"/>
    <w:rsid w:val="00594F6C"/>
    <w:rsid w:val="005A49D3"/>
    <w:rsid w:val="005A4D90"/>
    <w:rsid w:val="005A7B7D"/>
    <w:rsid w:val="005B1680"/>
    <w:rsid w:val="005B341E"/>
    <w:rsid w:val="005B6240"/>
    <w:rsid w:val="005B62A0"/>
    <w:rsid w:val="005C0E24"/>
    <w:rsid w:val="005C21D7"/>
    <w:rsid w:val="005C3354"/>
    <w:rsid w:val="005C77F3"/>
    <w:rsid w:val="005D0C1B"/>
    <w:rsid w:val="005D0C34"/>
    <w:rsid w:val="005D543C"/>
    <w:rsid w:val="005E066D"/>
    <w:rsid w:val="005E7FB4"/>
    <w:rsid w:val="005F325C"/>
    <w:rsid w:val="005F32EB"/>
    <w:rsid w:val="0060278E"/>
    <w:rsid w:val="00610BF1"/>
    <w:rsid w:val="006115E2"/>
    <w:rsid w:val="00622B72"/>
    <w:rsid w:val="0063199C"/>
    <w:rsid w:val="0063435A"/>
    <w:rsid w:val="00641331"/>
    <w:rsid w:val="00646C86"/>
    <w:rsid w:val="0065500F"/>
    <w:rsid w:val="006678D1"/>
    <w:rsid w:val="00667B57"/>
    <w:rsid w:val="00672C76"/>
    <w:rsid w:val="00673DB5"/>
    <w:rsid w:val="006747D6"/>
    <w:rsid w:val="006864F0"/>
    <w:rsid w:val="00692361"/>
    <w:rsid w:val="00695745"/>
    <w:rsid w:val="006959D1"/>
    <w:rsid w:val="006976D9"/>
    <w:rsid w:val="006979B3"/>
    <w:rsid w:val="006A0BA4"/>
    <w:rsid w:val="006A398D"/>
    <w:rsid w:val="006A3F29"/>
    <w:rsid w:val="006B5E01"/>
    <w:rsid w:val="006B7521"/>
    <w:rsid w:val="006C37BD"/>
    <w:rsid w:val="006D0991"/>
    <w:rsid w:val="006D264B"/>
    <w:rsid w:val="006D7450"/>
    <w:rsid w:val="006E0FD4"/>
    <w:rsid w:val="006E7FDA"/>
    <w:rsid w:val="006F1765"/>
    <w:rsid w:val="007000BF"/>
    <w:rsid w:val="00702C62"/>
    <w:rsid w:val="00703171"/>
    <w:rsid w:val="00704B78"/>
    <w:rsid w:val="007054D2"/>
    <w:rsid w:val="00705A2C"/>
    <w:rsid w:val="007106C7"/>
    <w:rsid w:val="00713CFF"/>
    <w:rsid w:val="00714241"/>
    <w:rsid w:val="00716E66"/>
    <w:rsid w:val="007242A2"/>
    <w:rsid w:val="0073403B"/>
    <w:rsid w:val="00736DA4"/>
    <w:rsid w:val="00742AB6"/>
    <w:rsid w:val="00746150"/>
    <w:rsid w:val="00746C0C"/>
    <w:rsid w:val="00751A8C"/>
    <w:rsid w:val="0076364F"/>
    <w:rsid w:val="00766C68"/>
    <w:rsid w:val="007752C8"/>
    <w:rsid w:val="0078274D"/>
    <w:rsid w:val="007853D8"/>
    <w:rsid w:val="00786525"/>
    <w:rsid w:val="007947F2"/>
    <w:rsid w:val="007950C8"/>
    <w:rsid w:val="007A30F6"/>
    <w:rsid w:val="007A69B7"/>
    <w:rsid w:val="007B0BE5"/>
    <w:rsid w:val="007C34C0"/>
    <w:rsid w:val="007D0765"/>
    <w:rsid w:val="007D0792"/>
    <w:rsid w:val="007D1177"/>
    <w:rsid w:val="007D6C74"/>
    <w:rsid w:val="007D7388"/>
    <w:rsid w:val="007E0387"/>
    <w:rsid w:val="007E4101"/>
    <w:rsid w:val="007E41E8"/>
    <w:rsid w:val="007E5F04"/>
    <w:rsid w:val="007F1CA7"/>
    <w:rsid w:val="007F6583"/>
    <w:rsid w:val="007F68C4"/>
    <w:rsid w:val="008006A3"/>
    <w:rsid w:val="00800856"/>
    <w:rsid w:val="00801B03"/>
    <w:rsid w:val="0080541A"/>
    <w:rsid w:val="008121AD"/>
    <w:rsid w:val="00812409"/>
    <w:rsid w:val="00812772"/>
    <w:rsid w:val="00813E24"/>
    <w:rsid w:val="00816D42"/>
    <w:rsid w:val="00816D5D"/>
    <w:rsid w:val="00821A0C"/>
    <w:rsid w:val="008275AC"/>
    <w:rsid w:val="00833B9D"/>
    <w:rsid w:val="00835300"/>
    <w:rsid w:val="00840C06"/>
    <w:rsid w:val="0084724D"/>
    <w:rsid w:val="00880DD1"/>
    <w:rsid w:val="00881BC9"/>
    <w:rsid w:val="00881FF2"/>
    <w:rsid w:val="00882F73"/>
    <w:rsid w:val="00883004"/>
    <w:rsid w:val="00884CF9"/>
    <w:rsid w:val="00886BD5"/>
    <w:rsid w:val="00890A20"/>
    <w:rsid w:val="00892D9A"/>
    <w:rsid w:val="00895C5D"/>
    <w:rsid w:val="008A1447"/>
    <w:rsid w:val="008A21E1"/>
    <w:rsid w:val="008A6073"/>
    <w:rsid w:val="008B244F"/>
    <w:rsid w:val="008B4C24"/>
    <w:rsid w:val="008B4F50"/>
    <w:rsid w:val="008B5600"/>
    <w:rsid w:val="008C2200"/>
    <w:rsid w:val="008C27E7"/>
    <w:rsid w:val="008C2DF1"/>
    <w:rsid w:val="008D4A1F"/>
    <w:rsid w:val="008D4A36"/>
    <w:rsid w:val="008E0730"/>
    <w:rsid w:val="008E1D44"/>
    <w:rsid w:val="008E3A73"/>
    <w:rsid w:val="008E6175"/>
    <w:rsid w:val="008F59A0"/>
    <w:rsid w:val="009018D4"/>
    <w:rsid w:val="00904675"/>
    <w:rsid w:val="00905359"/>
    <w:rsid w:val="009279BE"/>
    <w:rsid w:val="00932509"/>
    <w:rsid w:val="00937C89"/>
    <w:rsid w:val="00944B22"/>
    <w:rsid w:val="00945E92"/>
    <w:rsid w:val="009464D6"/>
    <w:rsid w:val="00956B2A"/>
    <w:rsid w:val="00956E02"/>
    <w:rsid w:val="0097039F"/>
    <w:rsid w:val="009719BD"/>
    <w:rsid w:val="009733A9"/>
    <w:rsid w:val="00974859"/>
    <w:rsid w:val="00980C82"/>
    <w:rsid w:val="009840E2"/>
    <w:rsid w:val="009919F6"/>
    <w:rsid w:val="00992E0B"/>
    <w:rsid w:val="00997C11"/>
    <w:rsid w:val="009A0D5F"/>
    <w:rsid w:val="009A2D54"/>
    <w:rsid w:val="009A6F37"/>
    <w:rsid w:val="009A7A59"/>
    <w:rsid w:val="009B7A49"/>
    <w:rsid w:val="009C0588"/>
    <w:rsid w:val="009C1846"/>
    <w:rsid w:val="009C35C9"/>
    <w:rsid w:val="009C516F"/>
    <w:rsid w:val="009C6F3F"/>
    <w:rsid w:val="009D1768"/>
    <w:rsid w:val="009D27E8"/>
    <w:rsid w:val="009D73D7"/>
    <w:rsid w:val="009E2D5E"/>
    <w:rsid w:val="009F1C92"/>
    <w:rsid w:val="009F773F"/>
    <w:rsid w:val="00A10E40"/>
    <w:rsid w:val="00A13B88"/>
    <w:rsid w:val="00A15CD1"/>
    <w:rsid w:val="00A22E0F"/>
    <w:rsid w:val="00A26B7B"/>
    <w:rsid w:val="00A2772D"/>
    <w:rsid w:val="00A3327E"/>
    <w:rsid w:val="00A34ECF"/>
    <w:rsid w:val="00A50F13"/>
    <w:rsid w:val="00A51D45"/>
    <w:rsid w:val="00A5520F"/>
    <w:rsid w:val="00A66511"/>
    <w:rsid w:val="00A6703B"/>
    <w:rsid w:val="00A735DB"/>
    <w:rsid w:val="00A75ED6"/>
    <w:rsid w:val="00A81112"/>
    <w:rsid w:val="00A830FB"/>
    <w:rsid w:val="00A87A60"/>
    <w:rsid w:val="00A949AE"/>
    <w:rsid w:val="00A97664"/>
    <w:rsid w:val="00A97D01"/>
    <w:rsid w:val="00AA3ECB"/>
    <w:rsid w:val="00AA6017"/>
    <w:rsid w:val="00AB08C4"/>
    <w:rsid w:val="00AB2D30"/>
    <w:rsid w:val="00AC0D47"/>
    <w:rsid w:val="00AC43A2"/>
    <w:rsid w:val="00AD0B66"/>
    <w:rsid w:val="00AD1CEC"/>
    <w:rsid w:val="00AD4843"/>
    <w:rsid w:val="00AD6E6A"/>
    <w:rsid w:val="00AD72DD"/>
    <w:rsid w:val="00AE0F2B"/>
    <w:rsid w:val="00AE24E7"/>
    <w:rsid w:val="00AE57BB"/>
    <w:rsid w:val="00AF71C0"/>
    <w:rsid w:val="00B01B6C"/>
    <w:rsid w:val="00B05A08"/>
    <w:rsid w:val="00B061BC"/>
    <w:rsid w:val="00B11A47"/>
    <w:rsid w:val="00B121EA"/>
    <w:rsid w:val="00B14E53"/>
    <w:rsid w:val="00B16601"/>
    <w:rsid w:val="00B16A04"/>
    <w:rsid w:val="00B21FEE"/>
    <w:rsid w:val="00B40844"/>
    <w:rsid w:val="00B433BD"/>
    <w:rsid w:val="00B46BB5"/>
    <w:rsid w:val="00B47800"/>
    <w:rsid w:val="00B5067C"/>
    <w:rsid w:val="00B50C99"/>
    <w:rsid w:val="00B50D73"/>
    <w:rsid w:val="00B56457"/>
    <w:rsid w:val="00B56E34"/>
    <w:rsid w:val="00B5737E"/>
    <w:rsid w:val="00B61AC7"/>
    <w:rsid w:val="00B66082"/>
    <w:rsid w:val="00B661B7"/>
    <w:rsid w:val="00B7499F"/>
    <w:rsid w:val="00B74BBB"/>
    <w:rsid w:val="00B75ACC"/>
    <w:rsid w:val="00B75CCB"/>
    <w:rsid w:val="00B76C1F"/>
    <w:rsid w:val="00B808CB"/>
    <w:rsid w:val="00B845CF"/>
    <w:rsid w:val="00B90DA5"/>
    <w:rsid w:val="00B928E9"/>
    <w:rsid w:val="00B92DE7"/>
    <w:rsid w:val="00B9407E"/>
    <w:rsid w:val="00BB13F4"/>
    <w:rsid w:val="00BB28BA"/>
    <w:rsid w:val="00BB2B54"/>
    <w:rsid w:val="00BB3273"/>
    <w:rsid w:val="00BC5931"/>
    <w:rsid w:val="00BD1C5C"/>
    <w:rsid w:val="00BD66C9"/>
    <w:rsid w:val="00BE31AD"/>
    <w:rsid w:val="00BE7727"/>
    <w:rsid w:val="00C02E2D"/>
    <w:rsid w:val="00C033C2"/>
    <w:rsid w:val="00C04F28"/>
    <w:rsid w:val="00C066B6"/>
    <w:rsid w:val="00C06EB4"/>
    <w:rsid w:val="00C2633E"/>
    <w:rsid w:val="00C327A6"/>
    <w:rsid w:val="00C4587F"/>
    <w:rsid w:val="00C504FC"/>
    <w:rsid w:val="00C54752"/>
    <w:rsid w:val="00C5569F"/>
    <w:rsid w:val="00C57F53"/>
    <w:rsid w:val="00C71A4D"/>
    <w:rsid w:val="00C73D5D"/>
    <w:rsid w:val="00C74D15"/>
    <w:rsid w:val="00C80E16"/>
    <w:rsid w:val="00C82B7B"/>
    <w:rsid w:val="00C837FE"/>
    <w:rsid w:val="00C9684E"/>
    <w:rsid w:val="00C97B0A"/>
    <w:rsid w:val="00CA7995"/>
    <w:rsid w:val="00CA7AA0"/>
    <w:rsid w:val="00CB1C83"/>
    <w:rsid w:val="00CB33F7"/>
    <w:rsid w:val="00CB3530"/>
    <w:rsid w:val="00CB72A6"/>
    <w:rsid w:val="00CC3220"/>
    <w:rsid w:val="00CC5308"/>
    <w:rsid w:val="00CC57E3"/>
    <w:rsid w:val="00CC7431"/>
    <w:rsid w:val="00CD605F"/>
    <w:rsid w:val="00CD62C0"/>
    <w:rsid w:val="00CE000F"/>
    <w:rsid w:val="00CE15C7"/>
    <w:rsid w:val="00CE52F4"/>
    <w:rsid w:val="00CE6B2D"/>
    <w:rsid w:val="00D034F4"/>
    <w:rsid w:val="00D113DD"/>
    <w:rsid w:val="00D15FF5"/>
    <w:rsid w:val="00D17BBF"/>
    <w:rsid w:val="00D24453"/>
    <w:rsid w:val="00D25285"/>
    <w:rsid w:val="00D30D4D"/>
    <w:rsid w:val="00D37DAA"/>
    <w:rsid w:val="00D5070E"/>
    <w:rsid w:val="00D52F48"/>
    <w:rsid w:val="00D547B6"/>
    <w:rsid w:val="00D55E8D"/>
    <w:rsid w:val="00D562F3"/>
    <w:rsid w:val="00D6224D"/>
    <w:rsid w:val="00D702D3"/>
    <w:rsid w:val="00D70B13"/>
    <w:rsid w:val="00D803A8"/>
    <w:rsid w:val="00D80947"/>
    <w:rsid w:val="00D84700"/>
    <w:rsid w:val="00D95D76"/>
    <w:rsid w:val="00D960EA"/>
    <w:rsid w:val="00DB3B82"/>
    <w:rsid w:val="00DB5AA2"/>
    <w:rsid w:val="00DC12E7"/>
    <w:rsid w:val="00DC6D53"/>
    <w:rsid w:val="00DD2A57"/>
    <w:rsid w:val="00DD76E7"/>
    <w:rsid w:val="00DE2167"/>
    <w:rsid w:val="00DE4AB1"/>
    <w:rsid w:val="00DE6BDE"/>
    <w:rsid w:val="00DE6D49"/>
    <w:rsid w:val="00DE70B5"/>
    <w:rsid w:val="00DF7C91"/>
    <w:rsid w:val="00E01FD9"/>
    <w:rsid w:val="00E0573A"/>
    <w:rsid w:val="00E10B88"/>
    <w:rsid w:val="00E124E4"/>
    <w:rsid w:val="00E17FF2"/>
    <w:rsid w:val="00E2084A"/>
    <w:rsid w:val="00E21198"/>
    <w:rsid w:val="00E221FD"/>
    <w:rsid w:val="00E31721"/>
    <w:rsid w:val="00E320A7"/>
    <w:rsid w:val="00E41BA4"/>
    <w:rsid w:val="00E41BE5"/>
    <w:rsid w:val="00E42E88"/>
    <w:rsid w:val="00E533BE"/>
    <w:rsid w:val="00E5364C"/>
    <w:rsid w:val="00E607B2"/>
    <w:rsid w:val="00E62DB3"/>
    <w:rsid w:val="00E71E94"/>
    <w:rsid w:val="00E7426D"/>
    <w:rsid w:val="00E8184C"/>
    <w:rsid w:val="00E8438C"/>
    <w:rsid w:val="00E85DF8"/>
    <w:rsid w:val="00E87914"/>
    <w:rsid w:val="00E87F6A"/>
    <w:rsid w:val="00E92DE9"/>
    <w:rsid w:val="00E96F9E"/>
    <w:rsid w:val="00EA28AE"/>
    <w:rsid w:val="00EA2DE2"/>
    <w:rsid w:val="00EB0606"/>
    <w:rsid w:val="00EB1AE0"/>
    <w:rsid w:val="00EC0AD9"/>
    <w:rsid w:val="00EC796F"/>
    <w:rsid w:val="00ED49EE"/>
    <w:rsid w:val="00ED5B76"/>
    <w:rsid w:val="00ED6C6C"/>
    <w:rsid w:val="00ED7008"/>
    <w:rsid w:val="00ED76B2"/>
    <w:rsid w:val="00EE2D11"/>
    <w:rsid w:val="00EF184A"/>
    <w:rsid w:val="00EF2FFD"/>
    <w:rsid w:val="00EF39B5"/>
    <w:rsid w:val="00EF49A1"/>
    <w:rsid w:val="00F0235A"/>
    <w:rsid w:val="00F05272"/>
    <w:rsid w:val="00F05CAB"/>
    <w:rsid w:val="00F0783D"/>
    <w:rsid w:val="00F1221A"/>
    <w:rsid w:val="00F17C62"/>
    <w:rsid w:val="00F2551F"/>
    <w:rsid w:val="00F31BD5"/>
    <w:rsid w:val="00F36245"/>
    <w:rsid w:val="00F403D1"/>
    <w:rsid w:val="00F6380D"/>
    <w:rsid w:val="00F639A4"/>
    <w:rsid w:val="00F65529"/>
    <w:rsid w:val="00F65903"/>
    <w:rsid w:val="00F65D03"/>
    <w:rsid w:val="00F72231"/>
    <w:rsid w:val="00F72273"/>
    <w:rsid w:val="00F75046"/>
    <w:rsid w:val="00F75304"/>
    <w:rsid w:val="00F7691A"/>
    <w:rsid w:val="00F77081"/>
    <w:rsid w:val="00F82EDF"/>
    <w:rsid w:val="00F87F98"/>
    <w:rsid w:val="00F92D04"/>
    <w:rsid w:val="00F9321A"/>
    <w:rsid w:val="00F938EC"/>
    <w:rsid w:val="00FA208F"/>
    <w:rsid w:val="00FA2278"/>
    <w:rsid w:val="00FB2295"/>
    <w:rsid w:val="00FB28CC"/>
    <w:rsid w:val="00FB2E9E"/>
    <w:rsid w:val="00FB5F14"/>
    <w:rsid w:val="00FC09D0"/>
    <w:rsid w:val="00FC0D5F"/>
    <w:rsid w:val="00FC2237"/>
    <w:rsid w:val="00FC6F2E"/>
    <w:rsid w:val="00FD14A0"/>
    <w:rsid w:val="00FD1B5F"/>
    <w:rsid w:val="00FD3613"/>
    <w:rsid w:val="00FD68B7"/>
    <w:rsid w:val="00FE0905"/>
    <w:rsid w:val="00FE1DD0"/>
    <w:rsid w:val="00FE6495"/>
    <w:rsid w:val="00FF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BFDA3-0F1F-46D3-90C9-5D095530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844"/>
    <w:rPr>
      <w:lang w:val="en-ZA"/>
    </w:rPr>
  </w:style>
  <w:style w:type="paragraph" w:styleId="Heading1">
    <w:name w:val="heading 1"/>
    <w:basedOn w:val="Normal"/>
    <w:next w:val="Normal"/>
    <w:link w:val="Heading1Char"/>
    <w:uiPriority w:val="9"/>
    <w:qFormat/>
    <w:rsid w:val="008D4A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84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0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844"/>
    <w:rPr>
      <w:lang w:val="en-ZA"/>
    </w:rPr>
  </w:style>
  <w:style w:type="paragraph" w:styleId="FootnoteText">
    <w:name w:val="footnote text"/>
    <w:aliases w:val="HCR: - Footnote text,Footnote Text Char1,Footnote Text Char Char,Footnote Text Char1 Char Char,Footnote Text Char Char Char Char,Footnote Text Char1 Char Char Char Char,Footnote Text Char Char Char Char Char Char,Car,fn"/>
    <w:basedOn w:val="Normal"/>
    <w:link w:val="FootnoteTextChar"/>
    <w:uiPriority w:val="99"/>
    <w:unhideWhenUsed/>
    <w:qFormat/>
    <w:rsid w:val="00B40844"/>
    <w:pPr>
      <w:spacing w:after="0" w:line="240" w:lineRule="auto"/>
    </w:pPr>
    <w:rPr>
      <w:sz w:val="20"/>
      <w:szCs w:val="20"/>
    </w:rPr>
  </w:style>
  <w:style w:type="character" w:customStyle="1" w:styleId="FootnoteTextChar">
    <w:name w:val="Footnote Text Char"/>
    <w:aliases w:val="HCR: - Footnote text Char,Footnote Text Char1 Char,Footnote Text Char Char Char,Footnote Text Char1 Char Char Char,Footnote Text Char Char Char Char Char,Footnote Text Char1 Char Char Char Char Char,Car Char,fn Char"/>
    <w:basedOn w:val="DefaultParagraphFont"/>
    <w:link w:val="FootnoteText"/>
    <w:uiPriority w:val="99"/>
    <w:rsid w:val="00B40844"/>
    <w:rPr>
      <w:sz w:val="20"/>
      <w:szCs w:val="20"/>
      <w:lang w:val="en-ZA"/>
    </w:rPr>
  </w:style>
  <w:style w:type="character" w:styleId="FootnoteReference">
    <w:name w:val="footnote reference"/>
    <w:aliases w:val="Footnote Reference + Superscript,Footnotes refss,Appel note de bas de page,Ref,de nota al pie,註腳內容,(NECG) Footnote Reference,fr,Footnote symbol,Style 12,Footnote"/>
    <w:basedOn w:val="DefaultParagraphFont"/>
    <w:uiPriority w:val="99"/>
    <w:unhideWhenUsed/>
    <w:qFormat/>
    <w:rsid w:val="00B40844"/>
    <w:rPr>
      <w:vertAlign w:val="superscript"/>
    </w:rPr>
  </w:style>
  <w:style w:type="paragraph" w:styleId="NormalWeb">
    <w:name w:val="Normal (Web)"/>
    <w:basedOn w:val="Normal"/>
    <w:uiPriority w:val="99"/>
    <w:unhideWhenUsed/>
    <w:rsid w:val="00B408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121EA"/>
    <w:pPr>
      <w:ind w:left="720"/>
      <w:contextualSpacing/>
    </w:pPr>
  </w:style>
  <w:style w:type="paragraph" w:styleId="BalloonText">
    <w:name w:val="Balloon Text"/>
    <w:basedOn w:val="Normal"/>
    <w:link w:val="BalloonTextChar"/>
    <w:uiPriority w:val="99"/>
    <w:semiHidden/>
    <w:unhideWhenUsed/>
    <w:rsid w:val="0041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278"/>
    <w:rPr>
      <w:rFonts w:ascii="Segoe UI" w:hAnsi="Segoe UI" w:cs="Segoe UI"/>
      <w:sz w:val="18"/>
      <w:szCs w:val="18"/>
      <w:lang w:val="en-ZA"/>
    </w:rPr>
  </w:style>
  <w:style w:type="paragraph" w:customStyle="1" w:styleId="I">
    <w:name w:val="I"/>
    <w:uiPriority w:val="99"/>
    <w:rsid w:val="00FB2E9E"/>
    <w:pPr>
      <w:widowControl w:val="0"/>
      <w:tabs>
        <w:tab w:val="left" w:pos="578"/>
        <w:tab w:val="left" w:pos="862"/>
        <w:tab w:val="left" w:pos="1440"/>
        <w:tab w:val="left" w:pos="2013"/>
        <w:tab w:val="left" w:pos="2591"/>
        <w:tab w:val="left" w:pos="3311"/>
      </w:tabs>
      <w:autoSpaceDE w:val="0"/>
      <w:autoSpaceDN w:val="0"/>
      <w:adjustRightInd w:val="0"/>
      <w:spacing w:after="181" w:line="240" w:lineRule="auto"/>
      <w:ind w:left="578" w:hanging="578"/>
    </w:pPr>
    <w:rPr>
      <w:rFonts w:ascii="Arial" w:eastAsiaTheme="minorEastAsia" w:hAnsi="Arial" w:cs="Arial"/>
      <w:sz w:val="24"/>
      <w:szCs w:val="24"/>
    </w:rPr>
  </w:style>
  <w:style w:type="paragraph" w:customStyle="1" w:styleId="Pb">
    <w:name w:val="Pb"/>
    <w:uiPriority w:val="99"/>
    <w:rsid w:val="00FB2E9E"/>
    <w:pPr>
      <w:widowControl w:val="0"/>
      <w:pBdr>
        <w:top w:val="single" w:sz="6" w:space="2" w:color="008080"/>
      </w:pBdr>
      <w:autoSpaceDE w:val="0"/>
      <w:autoSpaceDN w:val="0"/>
      <w:adjustRightInd w:val="0"/>
      <w:spacing w:after="181" w:line="240" w:lineRule="auto"/>
      <w:jc w:val="right"/>
    </w:pPr>
    <w:rPr>
      <w:rFonts w:ascii="Arial" w:eastAsiaTheme="minorEastAsia" w:hAnsi="Arial" w:cs="Arial"/>
      <w:b/>
      <w:bCs/>
      <w:color w:val="808080"/>
      <w:sz w:val="18"/>
      <w:szCs w:val="18"/>
    </w:rPr>
  </w:style>
  <w:style w:type="paragraph" w:customStyle="1" w:styleId="TTI">
    <w:name w:val="TTI"/>
    <w:uiPriority w:val="99"/>
    <w:rsid w:val="00FB2E9E"/>
    <w:pPr>
      <w:widowControl w:val="0"/>
      <w:tabs>
        <w:tab w:val="left" w:pos="283"/>
        <w:tab w:val="left" w:pos="713"/>
        <w:tab w:val="left" w:pos="1293"/>
        <w:tab w:val="left" w:pos="1865"/>
        <w:tab w:val="left" w:pos="2443"/>
        <w:tab w:val="left" w:pos="3163"/>
      </w:tabs>
      <w:autoSpaceDE w:val="0"/>
      <w:autoSpaceDN w:val="0"/>
      <w:adjustRightInd w:val="0"/>
      <w:spacing w:after="181" w:line="240" w:lineRule="auto"/>
      <w:ind w:left="1293" w:hanging="1293"/>
    </w:pPr>
    <w:rPr>
      <w:rFonts w:ascii="Arial" w:eastAsiaTheme="minorEastAsia" w:hAnsi="Arial" w:cs="Arial"/>
      <w:sz w:val="24"/>
      <w:szCs w:val="24"/>
    </w:rPr>
  </w:style>
  <w:style w:type="character" w:customStyle="1" w:styleId="Mc">
    <w:name w:val="Mc"/>
    <w:uiPriority w:val="99"/>
    <w:rsid w:val="00FB2E9E"/>
    <w:rPr>
      <w:color w:val="000000"/>
      <w:sz w:val="16"/>
    </w:rPr>
  </w:style>
  <w:style w:type="character" w:styleId="Hyperlink">
    <w:name w:val="Hyperlink"/>
    <w:basedOn w:val="DefaultParagraphFont"/>
    <w:uiPriority w:val="99"/>
    <w:unhideWhenUsed/>
    <w:rsid w:val="008E6175"/>
    <w:rPr>
      <w:color w:val="0563C1" w:themeColor="hyperlink"/>
      <w:u w:val="single"/>
    </w:rPr>
  </w:style>
  <w:style w:type="character" w:styleId="CommentReference">
    <w:name w:val="annotation reference"/>
    <w:basedOn w:val="DefaultParagraphFont"/>
    <w:uiPriority w:val="99"/>
    <w:semiHidden/>
    <w:unhideWhenUsed/>
    <w:rsid w:val="001A4504"/>
    <w:rPr>
      <w:sz w:val="16"/>
      <w:szCs w:val="16"/>
    </w:rPr>
  </w:style>
  <w:style w:type="paragraph" w:styleId="CommentText">
    <w:name w:val="annotation text"/>
    <w:basedOn w:val="Normal"/>
    <w:link w:val="CommentTextChar"/>
    <w:uiPriority w:val="99"/>
    <w:semiHidden/>
    <w:unhideWhenUsed/>
    <w:rsid w:val="001A4504"/>
    <w:pPr>
      <w:spacing w:line="240" w:lineRule="auto"/>
    </w:pPr>
    <w:rPr>
      <w:sz w:val="20"/>
      <w:szCs w:val="20"/>
    </w:rPr>
  </w:style>
  <w:style w:type="character" w:customStyle="1" w:styleId="CommentTextChar">
    <w:name w:val="Comment Text Char"/>
    <w:basedOn w:val="DefaultParagraphFont"/>
    <w:link w:val="CommentText"/>
    <w:uiPriority w:val="99"/>
    <w:semiHidden/>
    <w:rsid w:val="001A4504"/>
    <w:rPr>
      <w:sz w:val="20"/>
      <w:szCs w:val="20"/>
      <w:lang w:val="en-ZA"/>
    </w:rPr>
  </w:style>
  <w:style w:type="paragraph" w:styleId="CommentSubject">
    <w:name w:val="annotation subject"/>
    <w:basedOn w:val="CommentText"/>
    <w:next w:val="CommentText"/>
    <w:link w:val="CommentSubjectChar"/>
    <w:uiPriority w:val="99"/>
    <w:semiHidden/>
    <w:unhideWhenUsed/>
    <w:rsid w:val="001A4504"/>
    <w:rPr>
      <w:b/>
      <w:bCs/>
    </w:rPr>
  </w:style>
  <w:style w:type="character" w:customStyle="1" w:styleId="CommentSubjectChar">
    <w:name w:val="Comment Subject Char"/>
    <w:basedOn w:val="CommentTextChar"/>
    <w:link w:val="CommentSubject"/>
    <w:uiPriority w:val="99"/>
    <w:semiHidden/>
    <w:rsid w:val="001A4504"/>
    <w:rPr>
      <w:b/>
      <w:bCs/>
      <w:sz w:val="20"/>
      <w:szCs w:val="20"/>
      <w:lang w:val="en-ZA"/>
    </w:rPr>
  </w:style>
  <w:style w:type="paragraph" w:styleId="Header">
    <w:name w:val="header"/>
    <w:basedOn w:val="Normal"/>
    <w:link w:val="HeaderChar"/>
    <w:uiPriority w:val="99"/>
    <w:unhideWhenUsed/>
    <w:rsid w:val="00030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2C5"/>
    <w:rPr>
      <w:lang w:val="en-ZA"/>
    </w:rPr>
  </w:style>
  <w:style w:type="character" w:customStyle="1" w:styleId="Heading1Char">
    <w:name w:val="Heading 1 Char"/>
    <w:basedOn w:val="DefaultParagraphFont"/>
    <w:link w:val="Heading1"/>
    <w:uiPriority w:val="9"/>
    <w:rsid w:val="008D4A1F"/>
    <w:rPr>
      <w:rFonts w:asciiTheme="majorHAnsi" w:eastAsiaTheme="majorEastAsia" w:hAnsiTheme="majorHAnsi" w:cstheme="majorBidi"/>
      <w:color w:val="2E74B5" w:themeColor="accent1" w:themeShade="BF"/>
      <w:sz w:val="32"/>
      <w:szCs w:val="3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E0F99B3F8644397ECB0C536651393" ma:contentTypeVersion="11" ma:contentTypeDescription="Create a new document." ma:contentTypeScope="" ma:versionID="b673f0f333acfa81009044480645c58a">
  <xsd:schema xmlns:xsd="http://www.w3.org/2001/XMLSchema" xmlns:xs="http://www.w3.org/2001/XMLSchema" xmlns:p="http://schemas.microsoft.com/office/2006/metadata/properties" xmlns:ns2="17a0f4bd-1162-49ac-b85f-dfe96a90bc01" xmlns:ns3="c1afb1bd-f2fb-40fd-9abb-aea55b4d7662" targetNamespace="http://schemas.microsoft.com/office/2006/metadata/properties" ma:root="true" ma:fieldsID="293dc9c623f9aa83555c564965efc2da" ns2:_="" ns3:_="">
    <xsd:import namespace="17a0f4bd-1162-49ac-b85f-dfe96a90bc01"/>
    <xsd:import namespace="c1afb1bd-f2fb-40fd-9abb-aea55b4d7662"/>
    <xsd:element name="properties">
      <xsd:complexType>
        <xsd:sequence>
          <xsd:element name="documentManagement">
            <xsd:complexType>
              <xsd:all>
                <xsd:element ref="ns2:Judgment_x0020_Date"/>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f4bd-1162-49ac-b85f-dfe96a90bc01" elementFormDefault="qualified">
    <xsd:import namespace="http://schemas.microsoft.com/office/2006/documentManagement/types"/>
    <xsd:import namespace="http://schemas.microsoft.com/office/infopath/2007/PartnerControls"/>
    <xsd:element name="Judgment_x0020_Date" ma:index="8" ma:displayName="Judgment Date" ma:format="DateOnly" ma:internalName="Judg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afb1bd-f2fb-40fd-9abb-aea55b4d7662" elementFormDefault="qualified">
    <xsd:import namespace="http://schemas.microsoft.com/office/2006/documentManagement/types"/>
    <xsd:import namespace="http://schemas.microsoft.com/office/infopath/2007/PartnerControls"/>
    <xsd:element name="Year" ma:index="13"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udgment_x0020_Date xmlns="17a0f4bd-1162-49ac-b85f-dfe96a90bc01">2024-07-09T18:30:00+00:00</Judgment_x0020_Date>
    <Year xmlns="c1afb1bd-f2fb-40fd-9abb-aea55b4d7662">2024</Year>
  </documentManagement>
</p:properties>
</file>

<file path=customXml/itemProps1.xml><?xml version="1.0" encoding="utf-8"?>
<ds:datastoreItem xmlns:ds="http://schemas.openxmlformats.org/officeDocument/2006/customXml" ds:itemID="{1299A73C-D6A6-472C-9DEE-BD13976048EF}"/>
</file>

<file path=customXml/itemProps2.xml><?xml version="1.0" encoding="utf-8"?>
<ds:datastoreItem xmlns:ds="http://schemas.openxmlformats.org/officeDocument/2006/customXml" ds:itemID="{3885F38A-C9DB-4CB7-A037-332BAFB01686}"/>
</file>

<file path=customXml/itemProps3.xml><?xml version="1.0" encoding="utf-8"?>
<ds:datastoreItem xmlns:ds="http://schemas.openxmlformats.org/officeDocument/2006/customXml" ds:itemID="{22DB2646-9D64-4B27-B775-FA59B4106CBD}"/>
</file>

<file path=customXml/itemProps4.xml><?xml version="1.0" encoding="utf-8"?>
<ds:datastoreItem xmlns:ds="http://schemas.openxmlformats.org/officeDocument/2006/customXml" ds:itemID="{AF648771-C799-43D4-AD37-46AED9AF0EB5}"/>
</file>

<file path=docProps/app.xml><?xml version="1.0" encoding="utf-8"?>
<Properties xmlns="http://schemas.openxmlformats.org/officeDocument/2006/extended-properties" xmlns:vt="http://schemas.openxmlformats.org/officeDocument/2006/docPropsVTypes">
  <Template>Normal</Template>
  <TotalTime>3</TotalTime>
  <Pages>10</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 Essential Information v RDW Properties CC (HC-MD-CIV-ACT-CON-2021-02204) [2024] NAHCMD 375 (10 July 2024)</dc:title>
  <dc:subject/>
  <dc:creator>shomany keister</dc:creator>
  <cp:keywords/>
  <dc:description/>
  <cp:lastModifiedBy>Elisia Simon</cp:lastModifiedBy>
  <cp:revision>3</cp:revision>
  <cp:lastPrinted>2024-07-09T13:00:00Z</cp:lastPrinted>
  <dcterms:created xsi:type="dcterms:W3CDTF">2024-07-09T13:56:00Z</dcterms:created>
  <dcterms:modified xsi:type="dcterms:W3CDTF">2024-07-11T07:58:00Z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0x0101000ECE0F99B3F8644397ECB0C536651393</vt:lpwstr>
  </property>
</Properties>
</file>