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99" w:rsidRPr="00A41199" w:rsidRDefault="00F16314" w:rsidP="00A41199">
      <w:pPr>
        <w:spacing w:after="0" w:line="360" w:lineRule="auto"/>
        <w:jc w:val="center"/>
        <w:rPr>
          <w:rFonts w:ascii="Arial" w:hAnsi="Arial" w:cs="Arial"/>
          <w:b/>
          <w:sz w:val="24"/>
          <w:szCs w:val="24"/>
        </w:rPr>
      </w:pPr>
      <w:r w:rsidRPr="00A41199">
        <w:rPr>
          <w:rFonts w:ascii="Arial" w:hAnsi="Arial" w:cs="Arial"/>
          <w:b/>
          <w:noProof/>
          <w:sz w:val="24"/>
          <w:szCs w:val="24"/>
          <w:lang w:eastAsia="en-ZA"/>
        </w:rPr>
        <w:drawing>
          <wp:inline distT="0" distB="0" distL="0" distR="0" wp14:anchorId="2713AA4D" wp14:editId="38791720">
            <wp:extent cx="1276350" cy="1329024"/>
            <wp:effectExtent l="19050" t="0" r="0" b="0"/>
            <wp:docPr id="3" name="Picture 2" descr="Coat of Ar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bmp"/>
                    <pic:cNvPicPr/>
                  </pic:nvPicPr>
                  <pic:blipFill>
                    <a:blip r:embed="rId8" cstate="print"/>
                    <a:stretch>
                      <a:fillRect/>
                    </a:stretch>
                  </pic:blipFill>
                  <pic:spPr>
                    <a:xfrm>
                      <a:off x="0" y="0"/>
                      <a:ext cx="1276350" cy="1329024"/>
                    </a:xfrm>
                    <a:prstGeom prst="rect">
                      <a:avLst/>
                    </a:prstGeom>
                  </pic:spPr>
                </pic:pic>
              </a:graphicData>
            </a:graphic>
          </wp:inline>
        </w:drawing>
      </w:r>
    </w:p>
    <w:p w:rsidR="00A41199" w:rsidRPr="00A41199" w:rsidRDefault="006A2BFC" w:rsidP="00A41199">
      <w:pPr>
        <w:pStyle w:val="NoSpacing"/>
        <w:jc w:val="right"/>
        <w:rPr>
          <w:rFonts w:ascii="Arial" w:hAnsi="Arial" w:cs="Arial"/>
          <w:b/>
          <w:sz w:val="24"/>
          <w:szCs w:val="24"/>
        </w:rPr>
      </w:pPr>
      <w:r>
        <w:rPr>
          <w:rFonts w:ascii="Arial" w:hAnsi="Arial" w:cs="Arial"/>
          <w:b/>
          <w:sz w:val="24"/>
          <w:szCs w:val="24"/>
        </w:rPr>
        <w:t xml:space="preserve">NOT </w:t>
      </w:r>
      <w:r w:rsidR="00A41199" w:rsidRPr="00FA03C4">
        <w:rPr>
          <w:rFonts w:ascii="Arial" w:hAnsi="Arial" w:cs="Arial"/>
          <w:b/>
          <w:sz w:val="24"/>
          <w:szCs w:val="24"/>
        </w:rPr>
        <w:t>REPORTABLE</w:t>
      </w:r>
    </w:p>
    <w:p w:rsidR="00A41199" w:rsidRDefault="00A41199" w:rsidP="00F16314">
      <w:pPr>
        <w:spacing w:after="0" w:line="240" w:lineRule="auto"/>
        <w:jc w:val="right"/>
        <w:rPr>
          <w:rFonts w:ascii="Arial" w:hAnsi="Arial" w:cs="Arial"/>
          <w:sz w:val="24"/>
          <w:szCs w:val="24"/>
        </w:rPr>
      </w:pPr>
    </w:p>
    <w:p w:rsidR="00F16314" w:rsidRPr="00F16314" w:rsidRDefault="00F16314" w:rsidP="00F16314">
      <w:pPr>
        <w:spacing w:after="0" w:line="240" w:lineRule="auto"/>
        <w:jc w:val="right"/>
        <w:rPr>
          <w:rFonts w:ascii="Arial" w:hAnsi="Arial" w:cs="Arial"/>
          <w:sz w:val="24"/>
          <w:szCs w:val="24"/>
        </w:rPr>
      </w:pPr>
      <w:r w:rsidRPr="00F16314">
        <w:rPr>
          <w:rFonts w:ascii="Arial" w:hAnsi="Arial" w:cs="Arial"/>
          <w:sz w:val="24"/>
          <w:szCs w:val="24"/>
        </w:rPr>
        <w:t xml:space="preserve">CASE NO: SA </w:t>
      </w:r>
      <w:r w:rsidR="00AB7228">
        <w:rPr>
          <w:rFonts w:ascii="Arial" w:hAnsi="Arial" w:cs="Arial"/>
          <w:sz w:val="24"/>
          <w:szCs w:val="24"/>
        </w:rPr>
        <w:t>64</w:t>
      </w:r>
      <w:r w:rsidRPr="00F16314">
        <w:rPr>
          <w:rFonts w:ascii="Arial" w:hAnsi="Arial" w:cs="Arial"/>
          <w:sz w:val="24"/>
          <w:szCs w:val="24"/>
        </w:rPr>
        <w:t>/202</w:t>
      </w:r>
      <w:r w:rsidR="00AB7228">
        <w:rPr>
          <w:rFonts w:ascii="Arial" w:hAnsi="Arial" w:cs="Arial"/>
          <w:sz w:val="24"/>
          <w:szCs w:val="24"/>
        </w:rPr>
        <w:t>1</w:t>
      </w:r>
    </w:p>
    <w:p w:rsidR="00F16314" w:rsidRPr="00F16314" w:rsidRDefault="00F16314" w:rsidP="00F16314">
      <w:pPr>
        <w:spacing w:after="0" w:line="240" w:lineRule="auto"/>
        <w:rPr>
          <w:rFonts w:ascii="Arial" w:hAnsi="Arial" w:cs="Arial"/>
          <w:sz w:val="24"/>
          <w:szCs w:val="24"/>
        </w:rPr>
      </w:pPr>
    </w:p>
    <w:p w:rsidR="00F16314" w:rsidRPr="00F16314" w:rsidRDefault="00F16314" w:rsidP="00F16314">
      <w:pPr>
        <w:spacing w:after="0" w:line="240" w:lineRule="auto"/>
        <w:rPr>
          <w:rFonts w:ascii="Arial" w:hAnsi="Arial" w:cs="Arial"/>
          <w:sz w:val="24"/>
          <w:szCs w:val="24"/>
        </w:rPr>
      </w:pPr>
    </w:p>
    <w:p w:rsidR="00F16314" w:rsidRPr="00F16314" w:rsidRDefault="00F16314" w:rsidP="00F16314">
      <w:pPr>
        <w:spacing w:after="0" w:line="240" w:lineRule="auto"/>
        <w:rPr>
          <w:rFonts w:ascii="Arial" w:hAnsi="Arial" w:cs="Arial"/>
          <w:b/>
          <w:sz w:val="24"/>
          <w:szCs w:val="24"/>
        </w:rPr>
      </w:pPr>
      <w:r w:rsidRPr="00F16314">
        <w:rPr>
          <w:rFonts w:ascii="Arial" w:hAnsi="Arial" w:cs="Arial"/>
          <w:b/>
          <w:sz w:val="24"/>
          <w:szCs w:val="24"/>
        </w:rPr>
        <w:t>IN THE SUPREME COURT OF NAMIBIA</w:t>
      </w:r>
    </w:p>
    <w:p w:rsidR="00F16314" w:rsidRPr="00F16314" w:rsidRDefault="00F16314" w:rsidP="00F16314">
      <w:pPr>
        <w:spacing w:after="0" w:line="240" w:lineRule="auto"/>
        <w:rPr>
          <w:rFonts w:ascii="Arial" w:hAnsi="Arial" w:cs="Arial"/>
          <w:sz w:val="24"/>
          <w:szCs w:val="24"/>
        </w:rPr>
      </w:pPr>
    </w:p>
    <w:p w:rsidR="00F16314" w:rsidRPr="00F16314" w:rsidRDefault="00F16314" w:rsidP="00F16314">
      <w:pPr>
        <w:spacing w:after="0" w:line="240" w:lineRule="auto"/>
        <w:rPr>
          <w:rFonts w:ascii="Arial" w:hAnsi="Arial" w:cs="Arial"/>
          <w:sz w:val="24"/>
          <w:szCs w:val="24"/>
        </w:rPr>
      </w:pPr>
    </w:p>
    <w:p w:rsidR="00F16314" w:rsidRDefault="00F16314" w:rsidP="00F16314">
      <w:pPr>
        <w:spacing w:after="0" w:line="240" w:lineRule="auto"/>
        <w:rPr>
          <w:rFonts w:ascii="Arial" w:hAnsi="Arial" w:cs="Arial"/>
          <w:sz w:val="24"/>
          <w:szCs w:val="24"/>
        </w:rPr>
      </w:pPr>
      <w:r w:rsidRPr="00F16314">
        <w:rPr>
          <w:rFonts w:ascii="Arial" w:hAnsi="Arial" w:cs="Arial"/>
          <w:sz w:val="24"/>
          <w:szCs w:val="24"/>
        </w:rPr>
        <w:t>In the matter between:</w:t>
      </w:r>
    </w:p>
    <w:p w:rsidR="00A41199" w:rsidRDefault="00A41199" w:rsidP="00F16314">
      <w:pPr>
        <w:spacing w:after="0" w:line="240" w:lineRule="auto"/>
        <w:rPr>
          <w:rFonts w:ascii="Arial" w:hAnsi="Arial" w:cs="Arial"/>
          <w:sz w:val="24"/>
          <w:szCs w:val="24"/>
        </w:rPr>
      </w:pPr>
    </w:p>
    <w:p w:rsidR="00A41199" w:rsidRDefault="00A41199" w:rsidP="00A41199">
      <w:pPr>
        <w:pStyle w:val="NoSpacing"/>
        <w:rPr>
          <w:rFonts w:ascii="Arial" w:hAnsi="Arial" w:cs="Arial"/>
          <w:sz w:val="24"/>
          <w:szCs w:val="24"/>
        </w:rPr>
      </w:pPr>
      <w:bookmarkStart w:id="0" w:name="_GoBac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97"/>
      </w:tblGrid>
      <w:tr w:rsidR="00A41199" w:rsidRPr="002F2B3F" w:rsidTr="00B7219C">
        <w:tc>
          <w:tcPr>
            <w:tcW w:w="5529" w:type="dxa"/>
          </w:tcPr>
          <w:p w:rsidR="00A41199" w:rsidRPr="002F2B3F" w:rsidRDefault="00A41199" w:rsidP="00A41199">
            <w:pPr>
              <w:spacing w:line="360" w:lineRule="auto"/>
              <w:ind w:left="-108"/>
              <w:rPr>
                <w:rFonts w:ascii="Arial" w:hAnsi="Arial" w:cs="Arial"/>
                <w:b/>
                <w:sz w:val="24"/>
                <w:szCs w:val="24"/>
              </w:rPr>
            </w:pPr>
            <w:r>
              <w:rPr>
                <w:rFonts w:ascii="Arial" w:hAnsi="Arial" w:cs="Arial"/>
                <w:b/>
                <w:sz w:val="24"/>
                <w:szCs w:val="24"/>
              </w:rPr>
              <w:t>MICHAEL ROBERT HELLENS</w:t>
            </w:r>
          </w:p>
        </w:tc>
        <w:tc>
          <w:tcPr>
            <w:tcW w:w="3497" w:type="dxa"/>
          </w:tcPr>
          <w:p w:rsidR="00A41199" w:rsidRPr="002F2B3F" w:rsidRDefault="00A41199" w:rsidP="00A41199">
            <w:pPr>
              <w:pStyle w:val="NoSpacing"/>
              <w:spacing w:line="360" w:lineRule="auto"/>
              <w:jc w:val="right"/>
              <w:rPr>
                <w:rFonts w:ascii="Arial" w:hAnsi="Arial" w:cs="Arial"/>
                <w:b/>
                <w:sz w:val="24"/>
                <w:szCs w:val="24"/>
              </w:rPr>
            </w:pPr>
            <w:r>
              <w:rPr>
                <w:rFonts w:ascii="Arial" w:hAnsi="Arial" w:cs="Arial"/>
                <w:b/>
                <w:sz w:val="24"/>
                <w:szCs w:val="24"/>
              </w:rPr>
              <w:t>First Petitioner</w:t>
            </w:r>
            <w:r w:rsidR="00B7219C">
              <w:rPr>
                <w:rFonts w:ascii="Arial" w:hAnsi="Arial" w:cs="Arial"/>
                <w:b/>
                <w:sz w:val="24"/>
                <w:szCs w:val="24"/>
              </w:rPr>
              <w:t>/Applicant</w:t>
            </w:r>
          </w:p>
        </w:tc>
      </w:tr>
      <w:tr w:rsidR="00A41199" w:rsidRPr="002F2B3F" w:rsidTr="00B7219C">
        <w:tc>
          <w:tcPr>
            <w:tcW w:w="5529" w:type="dxa"/>
          </w:tcPr>
          <w:p w:rsidR="00A41199" w:rsidRDefault="00A41199" w:rsidP="00A41199">
            <w:pPr>
              <w:spacing w:line="360" w:lineRule="auto"/>
              <w:ind w:left="-108"/>
              <w:rPr>
                <w:rFonts w:ascii="Arial" w:hAnsi="Arial" w:cs="Arial"/>
                <w:b/>
                <w:sz w:val="24"/>
                <w:szCs w:val="24"/>
              </w:rPr>
            </w:pPr>
            <w:r>
              <w:rPr>
                <w:rFonts w:ascii="Arial" w:hAnsi="Arial" w:cs="Arial"/>
                <w:b/>
                <w:sz w:val="24"/>
                <w:szCs w:val="24"/>
              </w:rPr>
              <w:t>DAVID JOHANNES JOUBERT</w:t>
            </w:r>
          </w:p>
        </w:tc>
        <w:tc>
          <w:tcPr>
            <w:tcW w:w="3497" w:type="dxa"/>
          </w:tcPr>
          <w:p w:rsidR="00A41199" w:rsidRPr="002F2B3F" w:rsidRDefault="00A41199" w:rsidP="00A41199">
            <w:pPr>
              <w:pStyle w:val="NoSpacing"/>
              <w:spacing w:line="360" w:lineRule="auto"/>
              <w:jc w:val="right"/>
              <w:rPr>
                <w:rFonts w:ascii="Arial" w:hAnsi="Arial" w:cs="Arial"/>
                <w:b/>
                <w:sz w:val="24"/>
                <w:szCs w:val="24"/>
              </w:rPr>
            </w:pPr>
            <w:r>
              <w:rPr>
                <w:rFonts w:ascii="Arial" w:hAnsi="Arial" w:cs="Arial"/>
                <w:b/>
                <w:sz w:val="24"/>
                <w:szCs w:val="24"/>
              </w:rPr>
              <w:t>Second Petitioner</w:t>
            </w:r>
            <w:r w:rsidR="00B7219C">
              <w:rPr>
                <w:rFonts w:ascii="Arial" w:hAnsi="Arial" w:cs="Arial"/>
                <w:b/>
                <w:sz w:val="24"/>
                <w:szCs w:val="24"/>
              </w:rPr>
              <w:t>/Applicant</w:t>
            </w:r>
          </w:p>
        </w:tc>
      </w:tr>
      <w:tr w:rsidR="00A41199" w:rsidRPr="002A6BC0" w:rsidTr="00B7219C">
        <w:tc>
          <w:tcPr>
            <w:tcW w:w="5529" w:type="dxa"/>
          </w:tcPr>
          <w:p w:rsidR="00A41199" w:rsidRPr="002A6BC0" w:rsidRDefault="00A41199" w:rsidP="00A41199">
            <w:pPr>
              <w:pStyle w:val="NoSpacing"/>
              <w:spacing w:line="360" w:lineRule="auto"/>
              <w:ind w:left="-108"/>
              <w:rPr>
                <w:rFonts w:ascii="Arial" w:hAnsi="Arial" w:cs="Arial"/>
                <w:sz w:val="24"/>
                <w:szCs w:val="24"/>
              </w:rPr>
            </w:pPr>
          </w:p>
        </w:tc>
        <w:tc>
          <w:tcPr>
            <w:tcW w:w="3497" w:type="dxa"/>
          </w:tcPr>
          <w:p w:rsidR="00A41199" w:rsidRPr="002A6BC0" w:rsidRDefault="00A41199" w:rsidP="00A41199">
            <w:pPr>
              <w:pStyle w:val="NoSpacing"/>
              <w:spacing w:line="360" w:lineRule="auto"/>
              <w:jc w:val="right"/>
              <w:rPr>
                <w:rFonts w:ascii="Arial" w:hAnsi="Arial" w:cs="Arial"/>
                <w:sz w:val="24"/>
                <w:szCs w:val="24"/>
              </w:rPr>
            </w:pPr>
          </w:p>
        </w:tc>
      </w:tr>
      <w:tr w:rsidR="00A41199" w:rsidTr="00B7219C">
        <w:tc>
          <w:tcPr>
            <w:tcW w:w="5529" w:type="dxa"/>
          </w:tcPr>
          <w:p w:rsidR="00A41199" w:rsidRDefault="00A41199" w:rsidP="00A41199">
            <w:pPr>
              <w:pStyle w:val="NoSpacing"/>
              <w:spacing w:line="360" w:lineRule="auto"/>
              <w:ind w:left="-108"/>
              <w:rPr>
                <w:rFonts w:ascii="Arial" w:hAnsi="Arial" w:cs="Arial"/>
                <w:sz w:val="24"/>
                <w:szCs w:val="24"/>
              </w:rPr>
            </w:pPr>
            <w:r>
              <w:rPr>
                <w:rFonts w:ascii="Arial" w:hAnsi="Arial" w:cs="Arial"/>
                <w:sz w:val="24"/>
                <w:szCs w:val="24"/>
              </w:rPr>
              <w:t>and</w:t>
            </w:r>
          </w:p>
        </w:tc>
        <w:tc>
          <w:tcPr>
            <w:tcW w:w="3497" w:type="dxa"/>
          </w:tcPr>
          <w:p w:rsidR="00A41199" w:rsidRDefault="00A41199" w:rsidP="00A41199">
            <w:pPr>
              <w:pStyle w:val="NoSpacing"/>
              <w:spacing w:line="360" w:lineRule="auto"/>
              <w:jc w:val="right"/>
              <w:rPr>
                <w:rFonts w:ascii="Arial" w:hAnsi="Arial" w:cs="Arial"/>
                <w:sz w:val="24"/>
                <w:szCs w:val="24"/>
              </w:rPr>
            </w:pPr>
          </w:p>
        </w:tc>
      </w:tr>
      <w:tr w:rsidR="00A41199" w:rsidTr="00B7219C">
        <w:tc>
          <w:tcPr>
            <w:tcW w:w="5529" w:type="dxa"/>
          </w:tcPr>
          <w:p w:rsidR="00A41199" w:rsidRDefault="00A41199" w:rsidP="00A41199">
            <w:pPr>
              <w:pStyle w:val="NoSpacing"/>
              <w:spacing w:line="360" w:lineRule="auto"/>
              <w:ind w:left="-108"/>
              <w:rPr>
                <w:rFonts w:ascii="Arial" w:hAnsi="Arial" w:cs="Arial"/>
                <w:sz w:val="24"/>
                <w:szCs w:val="24"/>
              </w:rPr>
            </w:pPr>
          </w:p>
        </w:tc>
        <w:tc>
          <w:tcPr>
            <w:tcW w:w="3497" w:type="dxa"/>
          </w:tcPr>
          <w:p w:rsidR="00A41199" w:rsidRDefault="00A41199" w:rsidP="00A41199">
            <w:pPr>
              <w:pStyle w:val="NoSpacing"/>
              <w:spacing w:line="360" w:lineRule="auto"/>
              <w:jc w:val="right"/>
              <w:rPr>
                <w:rFonts w:ascii="Arial" w:hAnsi="Arial" w:cs="Arial"/>
                <w:sz w:val="24"/>
                <w:szCs w:val="24"/>
              </w:rPr>
            </w:pPr>
          </w:p>
        </w:tc>
      </w:tr>
      <w:tr w:rsidR="00A41199" w:rsidRPr="002F2B3F" w:rsidTr="00B7219C">
        <w:tc>
          <w:tcPr>
            <w:tcW w:w="5529" w:type="dxa"/>
          </w:tcPr>
          <w:p w:rsidR="00A41199" w:rsidRPr="002F2B3F" w:rsidRDefault="00A41199" w:rsidP="00A41199">
            <w:pPr>
              <w:spacing w:line="360" w:lineRule="auto"/>
              <w:ind w:left="-108"/>
              <w:rPr>
                <w:rFonts w:ascii="Arial" w:hAnsi="Arial" w:cs="Arial"/>
                <w:b/>
                <w:sz w:val="24"/>
                <w:szCs w:val="24"/>
              </w:rPr>
            </w:pPr>
            <w:r>
              <w:rPr>
                <w:rFonts w:ascii="Arial" w:hAnsi="Arial" w:cs="Arial"/>
                <w:b/>
                <w:sz w:val="24"/>
                <w:szCs w:val="24"/>
              </w:rPr>
              <w:t>MINISTER OF HOME AFFAIRS</w:t>
            </w:r>
            <w:r w:rsidR="006C14F1">
              <w:rPr>
                <w:rFonts w:ascii="Arial" w:hAnsi="Arial" w:cs="Arial"/>
                <w:b/>
                <w:sz w:val="24"/>
                <w:szCs w:val="24"/>
              </w:rPr>
              <w:t xml:space="preserve"> AND IMMIGRATION</w:t>
            </w:r>
          </w:p>
        </w:tc>
        <w:tc>
          <w:tcPr>
            <w:tcW w:w="3497" w:type="dxa"/>
          </w:tcPr>
          <w:p w:rsidR="00B7219C" w:rsidRDefault="00B7219C" w:rsidP="00A41199">
            <w:pPr>
              <w:pStyle w:val="NoSpacing"/>
              <w:spacing w:line="360" w:lineRule="auto"/>
              <w:jc w:val="right"/>
              <w:rPr>
                <w:rFonts w:ascii="Arial" w:hAnsi="Arial" w:cs="Arial"/>
                <w:b/>
                <w:sz w:val="24"/>
                <w:szCs w:val="24"/>
              </w:rPr>
            </w:pPr>
          </w:p>
          <w:p w:rsidR="00A41199" w:rsidRPr="002F2B3F" w:rsidRDefault="00A41199" w:rsidP="00A41199">
            <w:pPr>
              <w:pStyle w:val="NoSpacing"/>
              <w:spacing w:line="360" w:lineRule="auto"/>
              <w:jc w:val="right"/>
              <w:rPr>
                <w:rFonts w:ascii="Arial" w:hAnsi="Arial" w:cs="Arial"/>
                <w:b/>
                <w:sz w:val="24"/>
                <w:szCs w:val="24"/>
              </w:rPr>
            </w:pPr>
            <w:r>
              <w:rPr>
                <w:rFonts w:ascii="Arial" w:hAnsi="Arial" w:cs="Arial"/>
                <w:b/>
                <w:sz w:val="24"/>
                <w:szCs w:val="24"/>
              </w:rPr>
              <w:t xml:space="preserve">First </w:t>
            </w:r>
            <w:r w:rsidRPr="002F2B3F">
              <w:rPr>
                <w:rFonts w:ascii="Arial" w:hAnsi="Arial" w:cs="Arial"/>
                <w:b/>
                <w:sz w:val="24"/>
                <w:szCs w:val="24"/>
              </w:rPr>
              <w:t>Respondent</w:t>
            </w:r>
          </w:p>
        </w:tc>
      </w:tr>
      <w:tr w:rsidR="00A41199" w:rsidRPr="00920489" w:rsidTr="00B7219C">
        <w:tc>
          <w:tcPr>
            <w:tcW w:w="5529" w:type="dxa"/>
          </w:tcPr>
          <w:p w:rsidR="00A41199" w:rsidRDefault="00A41199" w:rsidP="00A41199">
            <w:pPr>
              <w:spacing w:line="360" w:lineRule="auto"/>
              <w:ind w:left="-108"/>
              <w:rPr>
                <w:rFonts w:ascii="Arial" w:hAnsi="Arial" w:cs="Arial"/>
                <w:b/>
                <w:sz w:val="24"/>
                <w:szCs w:val="24"/>
              </w:rPr>
            </w:pPr>
            <w:r>
              <w:rPr>
                <w:rFonts w:ascii="Arial" w:hAnsi="Arial" w:cs="Arial"/>
                <w:b/>
                <w:sz w:val="24"/>
                <w:szCs w:val="24"/>
              </w:rPr>
              <w:t>ACTING EXECUTIVE DIRECTOR:</w:t>
            </w:r>
          </w:p>
          <w:p w:rsidR="00A41199" w:rsidRPr="00920489" w:rsidRDefault="00A41199" w:rsidP="00B7219C">
            <w:pPr>
              <w:spacing w:line="360" w:lineRule="auto"/>
              <w:ind w:left="-108"/>
              <w:rPr>
                <w:rFonts w:ascii="Arial" w:hAnsi="Arial" w:cs="Arial"/>
                <w:b/>
                <w:sz w:val="24"/>
                <w:szCs w:val="24"/>
              </w:rPr>
            </w:pPr>
            <w:r>
              <w:rPr>
                <w:rFonts w:ascii="Arial" w:hAnsi="Arial" w:cs="Arial"/>
                <w:b/>
                <w:sz w:val="24"/>
                <w:szCs w:val="24"/>
              </w:rPr>
              <w:t>MINISTRY OF HOME AFFAIRS</w:t>
            </w:r>
            <w:r w:rsidR="004503AE">
              <w:rPr>
                <w:rFonts w:ascii="Arial" w:hAnsi="Arial" w:cs="Arial"/>
                <w:b/>
                <w:sz w:val="24"/>
                <w:szCs w:val="24"/>
              </w:rPr>
              <w:t xml:space="preserve"> AND </w:t>
            </w:r>
            <w:r w:rsidR="004E425A">
              <w:rPr>
                <w:rFonts w:ascii="Arial" w:hAnsi="Arial" w:cs="Arial"/>
                <w:b/>
                <w:sz w:val="24"/>
                <w:szCs w:val="24"/>
              </w:rPr>
              <w:t>I</w:t>
            </w:r>
            <w:r w:rsidR="004503AE">
              <w:rPr>
                <w:rFonts w:ascii="Arial" w:hAnsi="Arial" w:cs="Arial"/>
                <w:b/>
                <w:sz w:val="24"/>
                <w:szCs w:val="24"/>
              </w:rPr>
              <w:t>MMIGRATION</w:t>
            </w:r>
          </w:p>
        </w:tc>
        <w:tc>
          <w:tcPr>
            <w:tcW w:w="3497" w:type="dxa"/>
          </w:tcPr>
          <w:p w:rsidR="00A41199" w:rsidRDefault="00A41199" w:rsidP="00A41199">
            <w:pPr>
              <w:pStyle w:val="NoSpacing"/>
              <w:spacing w:line="360" w:lineRule="auto"/>
              <w:jc w:val="right"/>
              <w:rPr>
                <w:rFonts w:ascii="Arial" w:hAnsi="Arial" w:cs="Arial"/>
                <w:b/>
                <w:sz w:val="24"/>
                <w:szCs w:val="24"/>
              </w:rPr>
            </w:pPr>
          </w:p>
          <w:p w:rsidR="00B7219C" w:rsidRDefault="00B7219C" w:rsidP="00A41199">
            <w:pPr>
              <w:pStyle w:val="NoSpacing"/>
              <w:spacing w:line="360" w:lineRule="auto"/>
              <w:jc w:val="right"/>
              <w:rPr>
                <w:rFonts w:ascii="Arial" w:hAnsi="Arial" w:cs="Arial"/>
                <w:b/>
                <w:sz w:val="24"/>
                <w:szCs w:val="24"/>
              </w:rPr>
            </w:pPr>
          </w:p>
          <w:p w:rsidR="00A41199" w:rsidRPr="00920489" w:rsidRDefault="00A41199" w:rsidP="00A41199">
            <w:pPr>
              <w:pStyle w:val="NoSpacing"/>
              <w:spacing w:line="360" w:lineRule="auto"/>
              <w:jc w:val="right"/>
              <w:rPr>
                <w:rFonts w:ascii="Arial" w:hAnsi="Arial" w:cs="Arial"/>
                <w:b/>
                <w:sz w:val="24"/>
                <w:szCs w:val="24"/>
              </w:rPr>
            </w:pPr>
            <w:r>
              <w:rPr>
                <w:rFonts w:ascii="Arial" w:hAnsi="Arial" w:cs="Arial"/>
                <w:b/>
                <w:sz w:val="24"/>
                <w:szCs w:val="24"/>
              </w:rPr>
              <w:t>Second Respondent</w:t>
            </w:r>
          </w:p>
        </w:tc>
      </w:tr>
      <w:tr w:rsidR="00A41199" w:rsidRPr="00920489" w:rsidTr="00B7219C">
        <w:tc>
          <w:tcPr>
            <w:tcW w:w="5529" w:type="dxa"/>
          </w:tcPr>
          <w:p w:rsidR="00A41199" w:rsidRPr="00920489" w:rsidRDefault="00A41199" w:rsidP="00A41199">
            <w:pPr>
              <w:spacing w:line="360" w:lineRule="auto"/>
              <w:ind w:left="-108"/>
              <w:rPr>
                <w:rFonts w:ascii="Arial" w:hAnsi="Arial" w:cs="Arial"/>
                <w:b/>
                <w:sz w:val="24"/>
                <w:szCs w:val="24"/>
              </w:rPr>
            </w:pPr>
            <w:r>
              <w:rPr>
                <w:rFonts w:ascii="Arial" w:hAnsi="Arial" w:cs="Arial"/>
                <w:b/>
                <w:sz w:val="24"/>
                <w:szCs w:val="24"/>
              </w:rPr>
              <w:t>PROSECUTOR GENERAL</w:t>
            </w:r>
          </w:p>
        </w:tc>
        <w:tc>
          <w:tcPr>
            <w:tcW w:w="3497" w:type="dxa"/>
          </w:tcPr>
          <w:p w:rsidR="00A41199" w:rsidRPr="00920489" w:rsidRDefault="00A41199" w:rsidP="00A41199">
            <w:pPr>
              <w:pStyle w:val="NoSpacing"/>
              <w:spacing w:line="360" w:lineRule="auto"/>
              <w:jc w:val="right"/>
              <w:rPr>
                <w:rFonts w:ascii="Arial" w:hAnsi="Arial" w:cs="Arial"/>
                <w:b/>
                <w:sz w:val="24"/>
                <w:szCs w:val="24"/>
              </w:rPr>
            </w:pPr>
            <w:r>
              <w:rPr>
                <w:rFonts w:ascii="Arial" w:hAnsi="Arial" w:cs="Arial"/>
                <w:b/>
                <w:sz w:val="24"/>
                <w:szCs w:val="24"/>
              </w:rPr>
              <w:t>Third Respondent</w:t>
            </w:r>
          </w:p>
        </w:tc>
      </w:tr>
      <w:tr w:rsidR="00A41199" w:rsidRPr="00920489" w:rsidTr="00B7219C">
        <w:tc>
          <w:tcPr>
            <w:tcW w:w="5529" w:type="dxa"/>
          </w:tcPr>
          <w:p w:rsidR="00A41199" w:rsidRPr="00920489" w:rsidRDefault="00A41199" w:rsidP="00A41199">
            <w:pPr>
              <w:spacing w:line="360" w:lineRule="auto"/>
              <w:ind w:left="-108"/>
              <w:rPr>
                <w:rFonts w:ascii="Arial" w:hAnsi="Arial" w:cs="Arial"/>
                <w:b/>
                <w:sz w:val="24"/>
                <w:szCs w:val="24"/>
              </w:rPr>
            </w:pPr>
            <w:r>
              <w:rPr>
                <w:rFonts w:ascii="Arial" w:hAnsi="Arial" w:cs="Arial"/>
                <w:b/>
                <w:sz w:val="24"/>
                <w:szCs w:val="24"/>
              </w:rPr>
              <w:t>MAGISTRATE: ALWEENDO SEBBY VENATIUS</w:t>
            </w:r>
          </w:p>
        </w:tc>
        <w:tc>
          <w:tcPr>
            <w:tcW w:w="3497" w:type="dxa"/>
          </w:tcPr>
          <w:p w:rsidR="00A41199" w:rsidRPr="00920489" w:rsidRDefault="00A41199" w:rsidP="00A41199">
            <w:pPr>
              <w:pStyle w:val="NoSpacing"/>
              <w:spacing w:line="360" w:lineRule="auto"/>
              <w:jc w:val="right"/>
              <w:rPr>
                <w:rFonts w:ascii="Arial" w:hAnsi="Arial" w:cs="Arial"/>
                <w:b/>
                <w:sz w:val="24"/>
                <w:szCs w:val="24"/>
              </w:rPr>
            </w:pPr>
            <w:r>
              <w:rPr>
                <w:rFonts w:ascii="Arial" w:hAnsi="Arial" w:cs="Arial"/>
                <w:b/>
                <w:sz w:val="24"/>
                <w:szCs w:val="24"/>
              </w:rPr>
              <w:t>Fourth Respondent</w:t>
            </w:r>
          </w:p>
        </w:tc>
      </w:tr>
      <w:tr w:rsidR="00A41199" w:rsidRPr="00920489" w:rsidTr="00B7219C">
        <w:tc>
          <w:tcPr>
            <w:tcW w:w="5529" w:type="dxa"/>
          </w:tcPr>
          <w:p w:rsidR="00A41199" w:rsidRPr="00920489" w:rsidRDefault="00A41199" w:rsidP="00A41199">
            <w:pPr>
              <w:spacing w:line="360" w:lineRule="auto"/>
              <w:ind w:left="-108"/>
              <w:rPr>
                <w:rFonts w:ascii="Arial" w:hAnsi="Arial" w:cs="Arial"/>
                <w:b/>
                <w:sz w:val="24"/>
                <w:szCs w:val="24"/>
              </w:rPr>
            </w:pPr>
            <w:r>
              <w:rPr>
                <w:rFonts w:ascii="Arial" w:hAnsi="Arial" w:cs="Arial"/>
                <w:b/>
                <w:sz w:val="24"/>
                <w:szCs w:val="24"/>
              </w:rPr>
              <w:t>PROSECUTOR: CLIFFORD LUTIBEZI</w:t>
            </w:r>
          </w:p>
        </w:tc>
        <w:tc>
          <w:tcPr>
            <w:tcW w:w="3497" w:type="dxa"/>
          </w:tcPr>
          <w:p w:rsidR="00A41199" w:rsidRPr="00920489" w:rsidRDefault="00A41199" w:rsidP="00A41199">
            <w:pPr>
              <w:pStyle w:val="NoSpacing"/>
              <w:spacing w:line="360" w:lineRule="auto"/>
              <w:jc w:val="right"/>
              <w:rPr>
                <w:rFonts w:ascii="Arial" w:hAnsi="Arial" w:cs="Arial"/>
                <w:b/>
                <w:sz w:val="24"/>
                <w:szCs w:val="24"/>
              </w:rPr>
            </w:pPr>
            <w:r>
              <w:rPr>
                <w:rFonts w:ascii="Arial" w:hAnsi="Arial" w:cs="Arial"/>
                <w:b/>
                <w:sz w:val="24"/>
                <w:szCs w:val="24"/>
              </w:rPr>
              <w:t xml:space="preserve">Fifth Respondent </w:t>
            </w:r>
          </w:p>
        </w:tc>
      </w:tr>
      <w:tr w:rsidR="00A41199" w:rsidRPr="00920489" w:rsidTr="00B7219C">
        <w:tc>
          <w:tcPr>
            <w:tcW w:w="5529" w:type="dxa"/>
          </w:tcPr>
          <w:p w:rsidR="00A41199" w:rsidRPr="00920489" w:rsidRDefault="00A41199" w:rsidP="00A41199">
            <w:pPr>
              <w:spacing w:line="360" w:lineRule="auto"/>
              <w:ind w:left="-108"/>
              <w:rPr>
                <w:rFonts w:ascii="Arial" w:hAnsi="Arial" w:cs="Arial"/>
                <w:b/>
                <w:sz w:val="24"/>
                <w:szCs w:val="24"/>
              </w:rPr>
            </w:pPr>
            <w:r>
              <w:rPr>
                <w:rFonts w:ascii="Arial" w:hAnsi="Arial" w:cs="Arial"/>
                <w:b/>
                <w:sz w:val="24"/>
                <w:szCs w:val="24"/>
              </w:rPr>
              <w:t>PROSECUTOR: ROWAN VAN WYK</w:t>
            </w:r>
          </w:p>
        </w:tc>
        <w:tc>
          <w:tcPr>
            <w:tcW w:w="3497" w:type="dxa"/>
          </w:tcPr>
          <w:p w:rsidR="00A41199" w:rsidRPr="00920489" w:rsidRDefault="00A41199" w:rsidP="00A41199">
            <w:pPr>
              <w:pStyle w:val="NoSpacing"/>
              <w:spacing w:line="360" w:lineRule="auto"/>
              <w:jc w:val="right"/>
              <w:rPr>
                <w:rFonts w:ascii="Arial" w:hAnsi="Arial" w:cs="Arial"/>
                <w:b/>
                <w:sz w:val="24"/>
                <w:szCs w:val="24"/>
              </w:rPr>
            </w:pPr>
            <w:r>
              <w:rPr>
                <w:rFonts w:ascii="Arial" w:hAnsi="Arial" w:cs="Arial"/>
                <w:b/>
                <w:sz w:val="24"/>
                <w:szCs w:val="24"/>
              </w:rPr>
              <w:t>Sixth Respondent</w:t>
            </w:r>
          </w:p>
        </w:tc>
      </w:tr>
    </w:tbl>
    <w:p w:rsidR="00532DBD" w:rsidRDefault="00532DBD" w:rsidP="00A41199">
      <w:pPr>
        <w:spacing w:after="0" w:line="360" w:lineRule="auto"/>
        <w:rPr>
          <w:rFonts w:ascii="Arial" w:hAnsi="Arial" w:cs="Arial"/>
          <w:sz w:val="24"/>
          <w:szCs w:val="24"/>
        </w:rPr>
      </w:pPr>
    </w:p>
    <w:bookmarkEnd w:id="0"/>
    <w:p w:rsidR="00A41199" w:rsidRPr="00A41199" w:rsidRDefault="00A41199" w:rsidP="00F16314">
      <w:pPr>
        <w:spacing w:after="0" w:line="240" w:lineRule="auto"/>
        <w:rPr>
          <w:rFonts w:ascii="Arial" w:hAnsi="Arial" w:cs="Arial"/>
          <w:sz w:val="24"/>
          <w:szCs w:val="24"/>
        </w:rPr>
      </w:pPr>
      <w:r>
        <w:rPr>
          <w:rFonts w:ascii="Arial" w:hAnsi="Arial" w:cs="Arial"/>
          <w:b/>
          <w:sz w:val="24"/>
          <w:szCs w:val="24"/>
        </w:rPr>
        <w:t xml:space="preserve">Coram: </w:t>
      </w:r>
      <w:r>
        <w:rPr>
          <w:rFonts w:ascii="Arial" w:hAnsi="Arial" w:cs="Arial"/>
          <w:b/>
          <w:sz w:val="24"/>
          <w:szCs w:val="24"/>
        </w:rPr>
        <w:tab/>
      </w:r>
      <w:r w:rsidRPr="00A41199">
        <w:rPr>
          <w:rFonts w:ascii="Arial" w:hAnsi="Arial" w:cs="Arial"/>
          <w:sz w:val="24"/>
          <w:szCs w:val="24"/>
        </w:rPr>
        <w:t>FRANK AJA</w:t>
      </w:r>
    </w:p>
    <w:p w:rsidR="00A41199" w:rsidRDefault="00A41199" w:rsidP="00F16314">
      <w:pPr>
        <w:spacing w:after="0" w:line="240" w:lineRule="auto"/>
        <w:rPr>
          <w:rFonts w:ascii="Arial" w:hAnsi="Arial" w:cs="Arial"/>
          <w:b/>
          <w:sz w:val="24"/>
          <w:szCs w:val="24"/>
        </w:rPr>
      </w:pPr>
    </w:p>
    <w:p w:rsidR="00F16314" w:rsidRDefault="00F16314" w:rsidP="00F16314">
      <w:pPr>
        <w:spacing w:after="0" w:line="240" w:lineRule="auto"/>
        <w:rPr>
          <w:rFonts w:ascii="Arial" w:hAnsi="Arial" w:cs="Arial"/>
          <w:b/>
          <w:sz w:val="24"/>
          <w:szCs w:val="24"/>
        </w:rPr>
      </w:pPr>
      <w:r w:rsidRPr="00F16314">
        <w:rPr>
          <w:rFonts w:ascii="Arial" w:hAnsi="Arial" w:cs="Arial"/>
          <w:b/>
          <w:sz w:val="24"/>
          <w:szCs w:val="24"/>
        </w:rPr>
        <w:t>Heard:</w:t>
      </w:r>
      <w:r w:rsidR="00865000">
        <w:rPr>
          <w:rFonts w:ascii="Arial" w:hAnsi="Arial" w:cs="Arial"/>
          <w:b/>
          <w:sz w:val="24"/>
          <w:szCs w:val="24"/>
        </w:rPr>
        <w:t xml:space="preserve"> </w:t>
      </w:r>
      <w:r w:rsidR="00A41199">
        <w:rPr>
          <w:rFonts w:ascii="Arial" w:hAnsi="Arial" w:cs="Arial"/>
          <w:b/>
          <w:sz w:val="24"/>
          <w:szCs w:val="24"/>
        </w:rPr>
        <w:tab/>
      </w:r>
      <w:r w:rsidR="00865000">
        <w:rPr>
          <w:rFonts w:ascii="Arial" w:hAnsi="Arial" w:cs="Arial"/>
          <w:i/>
          <w:sz w:val="24"/>
          <w:szCs w:val="24"/>
        </w:rPr>
        <w:t>In Chambers</w:t>
      </w:r>
    </w:p>
    <w:p w:rsidR="00865000" w:rsidRPr="00F16314" w:rsidRDefault="00865000" w:rsidP="00F16314">
      <w:pPr>
        <w:spacing w:after="0" w:line="240" w:lineRule="auto"/>
        <w:rPr>
          <w:rFonts w:ascii="Arial" w:hAnsi="Arial" w:cs="Arial"/>
          <w:b/>
          <w:sz w:val="24"/>
          <w:szCs w:val="24"/>
        </w:rPr>
      </w:pPr>
    </w:p>
    <w:p w:rsidR="00F16314" w:rsidRDefault="00A41199" w:rsidP="00F16314">
      <w:pPr>
        <w:spacing w:after="0" w:line="240" w:lineRule="auto"/>
        <w:rPr>
          <w:rFonts w:ascii="Arial" w:hAnsi="Arial" w:cs="Arial"/>
          <w:sz w:val="24"/>
          <w:szCs w:val="24"/>
        </w:rPr>
      </w:pPr>
      <w:r>
        <w:rPr>
          <w:rFonts w:ascii="Arial" w:hAnsi="Arial" w:cs="Arial"/>
          <w:b/>
          <w:sz w:val="24"/>
          <w:szCs w:val="24"/>
        </w:rPr>
        <w:t>Delivered:</w:t>
      </w:r>
      <w:r>
        <w:rPr>
          <w:rFonts w:ascii="Arial" w:hAnsi="Arial" w:cs="Arial"/>
          <w:b/>
          <w:sz w:val="24"/>
          <w:szCs w:val="24"/>
        </w:rPr>
        <w:tab/>
      </w:r>
      <w:r w:rsidR="003279F7" w:rsidRPr="003279F7">
        <w:rPr>
          <w:rFonts w:ascii="Arial" w:hAnsi="Arial" w:cs="Arial"/>
          <w:sz w:val="24"/>
          <w:szCs w:val="24"/>
        </w:rPr>
        <w:t>22</w:t>
      </w:r>
      <w:r w:rsidRPr="003279F7">
        <w:rPr>
          <w:rFonts w:ascii="Arial" w:hAnsi="Arial" w:cs="Arial"/>
          <w:sz w:val="24"/>
          <w:szCs w:val="24"/>
        </w:rPr>
        <w:t xml:space="preserve"> July 2024</w:t>
      </w:r>
    </w:p>
    <w:p w:rsidR="00532DBD" w:rsidRDefault="00532DBD" w:rsidP="00F16314">
      <w:pPr>
        <w:spacing w:after="0" w:line="240" w:lineRule="auto"/>
        <w:rPr>
          <w:rFonts w:ascii="Arial" w:hAnsi="Arial" w:cs="Arial"/>
          <w:sz w:val="24"/>
          <w:szCs w:val="24"/>
        </w:rPr>
      </w:pPr>
    </w:p>
    <w:p w:rsidR="00532DBD" w:rsidRDefault="00532DBD" w:rsidP="00F16314">
      <w:pPr>
        <w:spacing w:after="0" w:line="240" w:lineRule="auto"/>
        <w:rPr>
          <w:rFonts w:ascii="Arial" w:hAnsi="Arial" w:cs="Arial"/>
          <w:sz w:val="24"/>
          <w:szCs w:val="24"/>
        </w:rPr>
      </w:pPr>
    </w:p>
    <w:p w:rsidR="00473398" w:rsidRDefault="00A41199" w:rsidP="00B0407B">
      <w:pPr>
        <w:spacing w:after="0" w:line="360" w:lineRule="auto"/>
        <w:jc w:val="both"/>
        <w:rPr>
          <w:rFonts w:ascii="Arial" w:hAnsi="Arial" w:cs="Arial"/>
          <w:sz w:val="24"/>
          <w:szCs w:val="24"/>
        </w:rPr>
      </w:pPr>
      <w:r w:rsidRPr="00A41199">
        <w:rPr>
          <w:rFonts w:ascii="Arial" w:hAnsi="Arial" w:cs="Arial"/>
          <w:b/>
          <w:sz w:val="24"/>
          <w:szCs w:val="24"/>
        </w:rPr>
        <w:t>Summary:</w:t>
      </w:r>
      <w:r w:rsidRPr="00A41199">
        <w:rPr>
          <w:rFonts w:ascii="Arial" w:hAnsi="Arial" w:cs="Arial"/>
          <w:b/>
          <w:sz w:val="24"/>
          <w:szCs w:val="24"/>
        </w:rPr>
        <w:tab/>
      </w:r>
      <w:r w:rsidR="009253C3">
        <w:rPr>
          <w:rFonts w:ascii="Arial" w:hAnsi="Arial" w:cs="Arial"/>
          <w:sz w:val="24"/>
          <w:szCs w:val="24"/>
        </w:rPr>
        <w:t>T</w:t>
      </w:r>
      <w:r w:rsidRPr="00A41199">
        <w:rPr>
          <w:rFonts w:ascii="Arial" w:hAnsi="Arial" w:cs="Arial"/>
          <w:sz w:val="24"/>
          <w:szCs w:val="24"/>
        </w:rPr>
        <w:t>his is</w:t>
      </w:r>
      <w:r w:rsidR="009253C3">
        <w:rPr>
          <w:rFonts w:ascii="Arial" w:hAnsi="Arial" w:cs="Arial"/>
          <w:sz w:val="24"/>
          <w:szCs w:val="24"/>
        </w:rPr>
        <w:t xml:space="preserve"> an application pursuant </w:t>
      </w:r>
      <w:r w:rsidR="009F4AC7">
        <w:rPr>
          <w:rFonts w:ascii="Arial" w:hAnsi="Arial" w:cs="Arial"/>
          <w:sz w:val="24"/>
          <w:szCs w:val="24"/>
        </w:rPr>
        <w:t xml:space="preserve">to </w:t>
      </w:r>
      <w:r w:rsidR="009253C3">
        <w:rPr>
          <w:rFonts w:ascii="Arial" w:hAnsi="Arial" w:cs="Arial"/>
          <w:sz w:val="24"/>
          <w:szCs w:val="24"/>
        </w:rPr>
        <w:t>Art 81</w:t>
      </w:r>
      <w:r w:rsidR="009F4AC7">
        <w:rPr>
          <w:rFonts w:ascii="Arial" w:hAnsi="Arial" w:cs="Arial"/>
          <w:sz w:val="24"/>
          <w:szCs w:val="24"/>
        </w:rPr>
        <w:t xml:space="preserve"> of the Namibian Constitution</w:t>
      </w:r>
      <w:r w:rsidR="009253C3">
        <w:rPr>
          <w:rFonts w:ascii="Arial" w:hAnsi="Arial" w:cs="Arial"/>
          <w:sz w:val="24"/>
          <w:szCs w:val="24"/>
        </w:rPr>
        <w:t xml:space="preserve">. The applicants were </w:t>
      </w:r>
      <w:r w:rsidR="00B7219C">
        <w:rPr>
          <w:rFonts w:ascii="Arial" w:hAnsi="Arial" w:cs="Arial"/>
          <w:sz w:val="24"/>
          <w:szCs w:val="24"/>
        </w:rPr>
        <w:t>convicted and sentenced by the M</w:t>
      </w:r>
      <w:r w:rsidR="009253C3">
        <w:rPr>
          <w:rFonts w:ascii="Arial" w:hAnsi="Arial" w:cs="Arial"/>
          <w:sz w:val="24"/>
          <w:szCs w:val="24"/>
        </w:rPr>
        <w:t>agistrates</w:t>
      </w:r>
      <w:r w:rsidR="00B7219C">
        <w:rPr>
          <w:rFonts w:ascii="Arial" w:hAnsi="Arial" w:cs="Arial"/>
          <w:sz w:val="24"/>
          <w:szCs w:val="24"/>
        </w:rPr>
        <w:t>’ C</w:t>
      </w:r>
      <w:r w:rsidR="009253C3">
        <w:rPr>
          <w:rFonts w:ascii="Arial" w:hAnsi="Arial" w:cs="Arial"/>
          <w:sz w:val="24"/>
          <w:szCs w:val="24"/>
        </w:rPr>
        <w:t xml:space="preserve">ourt in Windhoek </w:t>
      </w:r>
      <w:r w:rsidR="009253C3">
        <w:rPr>
          <w:rFonts w:ascii="Arial" w:hAnsi="Arial" w:cs="Arial"/>
          <w:sz w:val="24"/>
          <w:szCs w:val="24"/>
        </w:rPr>
        <w:lastRenderedPageBreak/>
        <w:t xml:space="preserve">for contravening </w:t>
      </w:r>
      <w:proofErr w:type="spellStart"/>
      <w:r w:rsidR="009253C3">
        <w:rPr>
          <w:rFonts w:ascii="Arial" w:hAnsi="Arial" w:cs="Arial"/>
          <w:sz w:val="24"/>
          <w:szCs w:val="24"/>
        </w:rPr>
        <w:t>ss</w:t>
      </w:r>
      <w:proofErr w:type="spellEnd"/>
      <w:r w:rsidR="009253C3">
        <w:rPr>
          <w:rFonts w:ascii="Arial" w:hAnsi="Arial" w:cs="Arial"/>
          <w:sz w:val="24"/>
          <w:szCs w:val="24"/>
        </w:rPr>
        <w:t xml:space="preserve"> 27(1) and 54</w:t>
      </w:r>
      <w:r w:rsidR="009253C3" w:rsidRPr="00314461">
        <w:rPr>
          <w:rFonts w:ascii="Arial" w:hAnsi="Arial" w:cs="Arial"/>
          <w:i/>
          <w:sz w:val="24"/>
          <w:szCs w:val="24"/>
        </w:rPr>
        <w:t>(e)</w:t>
      </w:r>
      <w:r w:rsidR="009253C3">
        <w:rPr>
          <w:rFonts w:ascii="Arial" w:hAnsi="Arial" w:cs="Arial"/>
          <w:sz w:val="24"/>
          <w:szCs w:val="24"/>
        </w:rPr>
        <w:t xml:space="preserve"> of the Immigration Control Act 7 of 1993. </w:t>
      </w:r>
      <w:r w:rsidR="00A43B23">
        <w:rPr>
          <w:rFonts w:ascii="Arial" w:hAnsi="Arial" w:cs="Arial"/>
          <w:sz w:val="24"/>
          <w:szCs w:val="24"/>
        </w:rPr>
        <w:t xml:space="preserve">The </w:t>
      </w:r>
      <w:r w:rsidR="00F55F2B">
        <w:rPr>
          <w:rFonts w:ascii="Arial" w:hAnsi="Arial" w:cs="Arial"/>
          <w:sz w:val="24"/>
          <w:szCs w:val="24"/>
        </w:rPr>
        <w:t xml:space="preserve">applicants brought an appeal against their convictions and sentences in the High Court and while their appeal was still pending, they launched a review </w:t>
      </w:r>
      <w:r w:rsidR="00A43B23">
        <w:rPr>
          <w:rFonts w:ascii="Arial" w:hAnsi="Arial" w:cs="Arial"/>
          <w:sz w:val="24"/>
          <w:szCs w:val="24"/>
        </w:rPr>
        <w:t>app</w:t>
      </w:r>
      <w:r w:rsidR="009F4AC7">
        <w:rPr>
          <w:rFonts w:ascii="Arial" w:hAnsi="Arial" w:cs="Arial"/>
          <w:sz w:val="24"/>
          <w:szCs w:val="24"/>
        </w:rPr>
        <w:t>lication</w:t>
      </w:r>
      <w:r w:rsidR="00A43B23">
        <w:rPr>
          <w:rFonts w:ascii="Arial" w:hAnsi="Arial" w:cs="Arial"/>
          <w:sz w:val="24"/>
          <w:szCs w:val="24"/>
        </w:rPr>
        <w:t xml:space="preserve"> in the High Court to have thei</w:t>
      </w:r>
      <w:r w:rsidR="005841EF">
        <w:rPr>
          <w:rFonts w:ascii="Arial" w:hAnsi="Arial" w:cs="Arial"/>
          <w:sz w:val="24"/>
          <w:szCs w:val="24"/>
        </w:rPr>
        <w:t>r convictions set asi</w:t>
      </w:r>
      <w:r w:rsidR="00A43B23">
        <w:rPr>
          <w:rFonts w:ascii="Arial" w:hAnsi="Arial" w:cs="Arial"/>
          <w:sz w:val="24"/>
          <w:szCs w:val="24"/>
        </w:rPr>
        <w:t xml:space="preserve">de alleging that there were </w:t>
      </w:r>
      <w:r w:rsidR="00B0407B">
        <w:rPr>
          <w:rFonts w:ascii="Arial" w:hAnsi="Arial" w:cs="Arial"/>
          <w:sz w:val="24"/>
          <w:szCs w:val="24"/>
        </w:rPr>
        <w:t>‘</w:t>
      </w:r>
      <w:r w:rsidR="00A43B23">
        <w:rPr>
          <w:rFonts w:ascii="Arial" w:hAnsi="Arial" w:cs="Arial"/>
          <w:sz w:val="24"/>
          <w:szCs w:val="24"/>
        </w:rPr>
        <w:t>irregularities</w:t>
      </w:r>
      <w:r w:rsidR="00B0407B">
        <w:rPr>
          <w:rFonts w:ascii="Arial" w:hAnsi="Arial" w:cs="Arial"/>
          <w:sz w:val="24"/>
          <w:szCs w:val="24"/>
        </w:rPr>
        <w:t xml:space="preserve"> in the proceedings’</w:t>
      </w:r>
      <w:r w:rsidR="00A43B23">
        <w:rPr>
          <w:rFonts w:ascii="Arial" w:hAnsi="Arial" w:cs="Arial"/>
          <w:sz w:val="24"/>
          <w:szCs w:val="24"/>
        </w:rPr>
        <w:t xml:space="preserve"> at the magistrate</w:t>
      </w:r>
      <w:r w:rsidR="0023643E">
        <w:rPr>
          <w:rFonts w:ascii="Arial" w:hAnsi="Arial" w:cs="Arial"/>
          <w:sz w:val="24"/>
          <w:szCs w:val="24"/>
        </w:rPr>
        <w:t>’</w:t>
      </w:r>
      <w:r w:rsidR="00A43B23">
        <w:rPr>
          <w:rFonts w:ascii="Arial" w:hAnsi="Arial" w:cs="Arial"/>
          <w:sz w:val="24"/>
          <w:szCs w:val="24"/>
        </w:rPr>
        <w:t xml:space="preserve">s court. </w:t>
      </w:r>
      <w:r w:rsidR="00F05E76">
        <w:rPr>
          <w:rFonts w:ascii="Arial" w:hAnsi="Arial" w:cs="Arial"/>
          <w:sz w:val="24"/>
          <w:szCs w:val="24"/>
        </w:rPr>
        <w:t>O</w:t>
      </w:r>
      <w:r w:rsidR="00F55F2B">
        <w:rPr>
          <w:rFonts w:ascii="Arial" w:hAnsi="Arial" w:cs="Arial"/>
          <w:sz w:val="24"/>
          <w:szCs w:val="24"/>
        </w:rPr>
        <w:t>n 4 September 2020, the High Court si</w:t>
      </w:r>
      <w:r w:rsidR="008438C6">
        <w:rPr>
          <w:rFonts w:ascii="Arial" w:hAnsi="Arial" w:cs="Arial"/>
          <w:sz w:val="24"/>
          <w:szCs w:val="24"/>
        </w:rPr>
        <w:t>t</w:t>
      </w:r>
      <w:r w:rsidR="00F55F2B">
        <w:rPr>
          <w:rFonts w:ascii="Arial" w:hAnsi="Arial" w:cs="Arial"/>
          <w:sz w:val="24"/>
          <w:szCs w:val="24"/>
        </w:rPr>
        <w:t xml:space="preserve">ting as a court of appeal dismissed their appeal. </w:t>
      </w:r>
      <w:r w:rsidR="00473398">
        <w:rPr>
          <w:rFonts w:ascii="Arial" w:hAnsi="Arial" w:cs="Arial"/>
          <w:sz w:val="24"/>
          <w:szCs w:val="24"/>
        </w:rPr>
        <w:t>Th</w:t>
      </w:r>
      <w:r w:rsidR="00F55F2B">
        <w:rPr>
          <w:rFonts w:ascii="Arial" w:hAnsi="Arial" w:cs="Arial"/>
          <w:sz w:val="24"/>
          <w:szCs w:val="24"/>
        </w:rPr>
        <w:t>e review</w:t>
      </w:r>
      <w:r w:rsidR="00473398">
        <w:rPr>
          <w:rFonts w:ascii="Arial" w:hAnsi="Arial" w:cs="Arial"/>
          <w:sz w:val="24"/>
          <w:szCs w:val="24"/>
        </w:rPr>
        <w:t xml:space="preserve"> </w:t>
      </w:r>
      <w:r w:rsidR="00F55F2B">
        <w:rPr>
          <w:rFonts w:ascii="Arial" w:hAnsi="Arial" w:cs="Arial"/>
          <w:sz w:val="24"/>
          <w:szCs w:val="24"/>
        </w:rPr>
        <w:t xml:space="preserve">application </w:t>
      </w:r>
      <w:r w:rsidR="00473398">
        <w:rPr>
          <w:rFonts w:ascii="Arial" w:hAnsi="Arial" w:cs="Arial"/>
          <w:sz w:val="24"/>
          <w:szCs w:val="24"/>
        </w:rPr>
        <w:t xml:space="preserve">succeeded </w:t>
      </w:r>
      <w:r w:rsidR="00F55F2B">
        <w:rPr>
          <w:rFonts w:ascii="Arial" w:hAnsi="Arial" w:cs="Arial"/>
          <w:sz w:val="24"/>
          <w:szCs w:val="24"/>
        </w:rPr>
        <w:t>and the High Court set aside their convictions and sentences. T</w:t>
      </w:r>
      <w:r w:rsidR="00473398">
        <w:rPr>
          <w:rFonts w:ascii="Arial" w:hAnsi="Arial" w:cs="Arial"/>
          <w:sz w:val="24"/>
          <w:szCs w:val="24"/>
        </w:rPr>
        <w:t>he governmental respondents t</w:t>
      </w:r>
      <w:r w:rsidR="00F05E76">
        <w:rPr>
          <w:rFonts w:ascii="Arial" w:hAnsi="Arial" w:cs="Arial"/>
          <w:sz w:val="24"/>
          <w:szCs w:val="24"/>
        </w:rPr>
        <w:t>hen</w:t>
      </w:r>
      <w:r w:rsidR="00473398">
        <w:rPr>
          <w:rFonts w:ascii="Arial" w:hAnsi="Arial" w:cs="Arial"/>
          <w:sz w:val="24"/>
          <w:szCs w:val="24"/>
        </w:rPr>
        <w:t xml:space="preserve"> </w:t>
      </w:r>
      <w:r w:rsidR="00F55F2B">
        <w:rPr>
          <w:rFonts w:ascii="Arial" w:hAnsi="Arial" w:cs="Arial"/>
          <w:sz w:val="24"/>
          <w:szCs w:val="24"/>
        </w:rPr>
        <w:t xml:space="preserve">appealed to </w:t>
      </w:r>
      <w:r w:rsidR="00473398">
        <w:rPr>
          <w:rFonts w:ascii="Arial" w:hAnsi="Arial" w:cs="Arial"/>
          <w:sz w:val="24"/>
          <w:szCs w:val="24"/>
        </w:rPr>
        <w:t>the Supreme Court against the setting aside of the convictions and sentences. This Court upheld the appeal and made an order rei</w:t>
      </w:r>
      <w:r w:rsidR="00F05E76">
        <w:rPr>
          <w:rFonts w:ascii="Arial" w:hAnsi="Arial" w:cs="Arial"/>
          <w:sz w:val="24"/>
          <w:szCs w:val="24"/>
        </w:rPr>
        <w:t>n</w:t>
      </w:r>
      <w:r w:rsidR="00473398">
        <w:rPr>
          <w:rFonts w:ascii="Arial" w:hAnsi="Arial" w:cs="Arial"/>
          <w:sz w:val="24"/>
          <w:szCs w:val="24"/>
        </w:rPr>
        <w:t>stating the convictions and sentences of the applicants as imposed by the magistrates’ court</w:t>
      </w:r>
      <w:r w:rsidR="00264E0D">
        <w:rPr>
          <w:rFonts w:ascii="Arial" w:hAnsi="Arial" w:cs="Arial"/>
          <w:sz w:val="24"/>
          <w:szCs w:val="24"/>
        </w:rPr>
        <w:t xml:space="preserve"> on 1 March 2024.</w:t>
      </w:r>
    </w:p>
    <w:p w:rsidR="00264E0D" w:rsidRDefault="00264E0D" w:rsidP="00B0407B">
      <w:pPr>
        <w:spacing w:after="0" w:line="360" w:lineRule="auto"/>
        <w:jc w:val="both"/>
        <w:rPr>
          <w:rFonts w:ascii="Arial" w:hAnsi="Arial" w:cs="Arial"/>
          <w:sz w:val="24"/>
          <w:szCs w:val="24"/>
        </w:rPr>
      </w:pPr>
    </w:p>
    <w:p w:rsidR="008D2558" w:rsidRDefault="00C67A80" w:rsidP="008D2558">
      <w:pPr>
        <w:spacing w:after="0" w:line="360" w:lineRule="auto"/>
        <w:jc w:val="both"/>
        <w:rPr>
          <w:rFonts w:ascii="Arial" w:hAnsi="Arial" w:cs="Arial"/>
          <w:sz w:val="24"/>
          <w:szCs w:val="24"/>
        </w:rPr>
      </w:pPr>
      <w:r>
        <w:rPr>
          <w:rFonts w:ascii="Arial" w:hAnsi="Arial" w:cs="Arial"/>
          <w:sz w:val="24"/>
          <w:szCs w:val="24"/>
        </w:rPr>
        <w:t>According to the applicants, their</w:t>
      </w:r>
      <w:r w:rsidR="00473398">
        <w:rPr>
          <w:rFonts w:ascii="Arial" w:hAnsi="Arial" w:cs="Arial"/>
          <w:sz w:val="24"/>
          <w:szCs w:val="24"/>
        </w:rPr>
        <w:t xml:space="preserve"> </w:t>
      </w:r>
      <w:r w:rsidR="002D2AC1">
        <w:rPr>
          <w:rFonts w:ascii="Arial" w:hAnsi="Arial" w:cs="Arial"/>
          <w:sz w:val="24"/>
          <w:szCs w:val="24"/>
        </w:rPr>
        <w:t xml:space="preserve">Art 81 application </w:t>
      </w:r>
      <w:r>
        <w:rPr>
          <w:rFonts w:ascii="Arial" w:hAnsi="Arial" w:cs="Arial"/>
          <w:sz w:val="24"/>
          <w:szCs w:val="24"/>
        </w:rPr>
        <w:t>is brought on the basis that theirs is an exceptional case aimed at corre</w:t>
      </w:r>
      <w:r w:rsidR="00F0413B">
        <w:rPr>
          <w:rFonts w:ascii="Arial" w:hAnsi="Arial" w:cs="Arial"/>
          <w:sz w:val="24"/>
          <w:szCs w:val="24"/>
        </w:rPr>
        <w:t>cting an injustice in that the judgment of this Court ‘resulted in an indefensible and manifest injustice done’ to them</w:t>
      </w:r>
      <w:r w:rsidR="00735C3B">
        <w:rPr>
          <w:rFonts w:ascii="Arial" w:hAnsi="Arial" w:cs="Arial"/>
          <w:sz w:val="24"/>
          <w:szCs w:val="24"/>
        </w:rPr>
        <w:t xml:space="preserve"> hence the Supreme Court must invoke its power to revisit its decision</w:t>
      </w:r>
      <w:r w:rsidR="00F0413B">
        <w:rPr>
          <w:rFonts w:ascii="Arial" w:hAnsi="Arial" w:cs="Arial"/>
          <w:sz w:val="24"/>
          <w:szCs w:val="24"/>
        </w:rPr>
        <w:t>.</w:t>
      </w:r>
    </w:p>
    <w:p w:rsidR="008D2558" w:rsidRDefault="008D2558" w:rsidP="008D2558">
      <w:pPr>
        <w:spacing w:after="0" w:line="360" w:lineRule="auto"/>
        <w:jc w:val="both"/>
        <w:rPr>
          <w:rFonts w:ascii="Arial" w:hAnsi="Arial" w:cs="Arial"/>
          <w:sz w:val="24"/>
          <w:szCs w:val="24"/>
        </w:rPr>
      </w:pPr>
    </w:p>
    <w:p w:rsidR="00264016" w:rsidRDefault="008D2558" w:rsidP="00264016">
      <w:pPr>
        <w:spacing w:after="0" w:line="360" w:lineRule="auto"/>
        <w:jc w:val="both"/>
        <w:rPr>
          <w:rFonts w:ascii="Arial" w:hAnsi="Arial" w:cs="Arial"/>
          <w:sz w:val="24"/>
          <w:szCs w:val="24"/>
        </w:rPr>
      </w:pPr>
      <w:r>
        <w:rPr>
          <w:rFonts w:ascii="Arial" w:hAnsi="Arial" w:cs="Arial"/>
          <w:sz w:val="24"/>
          <w:szCs w:val="24"/>
        </w:rPr>
        <w:t>The applicants</w:t>
      </w:r>
      <w:r w:rsidR="00962177">
        <w:rPr>
          <w:rFonts w:ascii="Arial" w:hAnsi="Arial" w:cs="Arial"/>
          <w:sz w:val="24"/>
          <w:szCs w:val="24"/>
        </w:rPr>
        <w:t xml:space="preserve"> argued that the dismissal of their appeal in the High Court and in this Court abolished their inalienable right of access to the court.</w:t>
      </w:r>
    </w:p>
    <w:p w:rsidR="00264016" w:rsidRDefault="00264016" w:rsidP="00264016">
      <w:pPr>
        <w:spacing w:after="0" w:line="360" w:lineRule="auto"/>
        <w:jc w:val="both"/>
        <w:rPr>
          <w:rFonts w:ascii="Arial" w:hAnsi="Arial" w:cs="Arial"/>
          <w:sz w:val="24"/>
          <w:szCs w:val="24"/>
        </w:rPr>
      </w:pPr>
    </w:p>
    <w:p w:rsidR="00264016" w:rsidRDefault="008D2558" w:rsidP="00264016">
      <w:pPr>
        <w:spacing w:after="0" w:line="360" w:lineRule="auto"/>
        <w:jc w:val="both"/>
        <w:rPr>
          <w:rFonts w:ascii="Arial" w:hAnsi="Arial" w:cs="Arial"/>
          <w:sz w:val="24"/>
          <w:szCs w:val="24"/>
        </w:rPr>
      </w:pPr>
      <w:r w:rsidRPr="00264016">
        <w:rPr>
          <w:rFonts w:ascii="Arial" w:hAnsi="Arial" w:cs="Arial"/>
          <w:i/>
          <w:sz w:val="24"/>
          <w:szCs w:val="24"/>
        </w:rPr>
        <w:t>Held that</w:t>
      </w:r>
      <w:r w:rsidRPr="00264016">
        <w:rPr>
          <w:rFonts w:ascii="Arial" w:hAnsi="Arial" w:cs="Arial"/>
          <w:sz w:val="24"/>
          <w:szCs w:val="24"/>
        </w:rPr>
        <w:t>, there is no merit to this point. The</w:t>
      </w:r>
      <w:r w:rsidR="00264E0D">
        <w:rPr>
          <w:rFonts w:ascii="Arial" w:hAnsi="Arial" w:cs="Arial"/>
          <w:sz w:val="24"/>
          <w:szCs w:val="24"/>
        </w:rPr>
        <w:t xml:space="preserve"> applicants</w:t>
      </w:r>
      <w:r w:rsidRPr="00264016">
        <w:rPr>
          <w:rFonts w:ascii="Arial" w:hAnsi="Arial" w:cs="Arial"/>
          <w:sz w:val="24"/>
          <w:szCs w:val="24"/>
        </w:rPr>
        <w:t xml:space="preserve"> had the right to pursue both an appeal and a review but because of the principle</w:t>
      </w:r>
      <w:r w:rsidR="00264016">
        <w:rPr>
          <w:rFonts w:ascii="Arial" w:hAnsi="Arial" w:cs="Arial"/>
          <w:sz w:val="24"/>
          <w:szCs w:val="24"/>
        </w:rPr>
        <w:t xml:space="preserve"> in</w:t>
      </w:r>
      <w:r w:rsidR="00264016" w:rsidRPr="00264016">
        <w:rPr>
          <w:rFonts w:ascii="Arial" w:hAnsi="Arial" w:cs="Arial"/>
          <w:sz w:val="24"/>
          <w:szCs w:val="24"/>
        </w:rPr>
        <w:t xml:space="preserve"> </w:t>
      </w:r>
      <w:r w:rsidR="00264016" w:rsidRPr="00264016">
        <w:rPr>
          <w:rFonts w:ascii="Arial" w:hAnsi="Arial" w:cs="Arial"/>
          <w:i/>
          <w:sz w:val="24"/>
          <w:szCs w:val="24"/>
        </w:rPr>
        <w:t xml:space="preserve">Liberty Life Association of Africa v </w:t>
      </w:r>
      <w:proofErr w:type="spellStart"/>
      <w:r w:rsidR="00264016" w:rsidRPr="00264016">
        <w:rPr>
          <w:rFonts w:ascii="Arial" w:hAnsi="Arial" w:cs="Arial"/>
          <w:i/>
          <w:sz w:val="24"/>
          <w:szCs w:val="24"/>
        </w:rPr>
        <w:t>Kachelhoffer</w:t>
      </w:r>
      <w:proofErr w:type="spellEnd"/>
      <w:r w:rsidR="00264016" w:rsidRPr="00264016">
        <w:rPr>
          <w:rFonts w:ascii="Arial" w:hAnsi="Arial" w:cs="Arial"/>
          <w:i/>
          <w:sz w:val="24"/>
          <w:szCs w:val="24"/>
        </w:rPr>
        <w:t xml:space="preserve"> NO &amp; others</w:t>
      </w:r>
      <w:r w:rsidR="00264016" w:rsidRPr="00264016">
        <w:rPr>
          <w:rFonts w:ascii="Arial" w:hAnsi="Arial" w:cs="Arial"/>
          <w:sz w:val="24"/>
          <w:szCs w:val="24"/>
        </w:rPr>
        <w:t xml:space="preserve"> 2001 (3) SA 1094 (C) </w:t>
      </w:r>
      <w:r w:rsidR="00F05E76">
        <w:rPr>
          <w:rFonts w:ascii="Arial" w:hAnsi="Arial" w:cs="Arial"/>
          <w:sz w:val="24"/>
          <w:szCs w:val="24"/>
        </w:rPr>
        <w:t>which wa</w:t>
      </w:r>
      <w:r w:rsidR="00264016" w:rsidRPr="00264016">
        <w:rPr>
          <w:rFonts w:ascii="Arial" w:hAnsi="Arial" w:cs="Arial"/>
          <w:sz w:val="24"/>
          <w:szCs w:val="24"/>
        </w:rPr>
        <w:t xml:space="preserve">s accepted in </w:t>
      </w:r>
      <w:proofErr w:type="spellStart"/>
      <w:r w:rsidR="00264016" w:rsidRPr="00264016">
        <w:rPr>
          <w:rFonts w:ascii="Arial" w:hAnsi="Arial" w:cs="Arial"/>
          <w:i/>
          <w:sz w:val="24"/>
          <w:szCs w:val="24"/>
        </w:rPr>
        <w:t>Schroëder</w:t>
      </w:r>
      <w:proofErr w:type="spellEnd"/>
      <w:r w:rsidR="00264016" w:rsidRPr="00264016">
        <w:rPr>
          <w:rFonts w:ascii="Arial" w:hAnsi="Arial" w:cs="Arial"/>
          <w:i/>
          <w:sz w:val="24"/>
          <w:szCs w:val="24"/>
        </w:rPr>
        <w:t xml:space="preserve"> &amp; another v Solomon &amp; others</w:t>
      </w:r>
      <w:r w:rsidR="00264016">
        <w:rPr>
          <w:rFonts w:ascii="Arial" w:hAnsi="Arial" w:cs="Arial"/>
          <w:sz w:val="24"/>
          <w:szCs w:val="24"/>
        </w:rPr>
        <w:t xml:space="preserve"> 2009 (1) NR 1 (SC)</w:t>
      </w:r>
      <w:r w:rsidRPr="00276236">
        <w:rPr>
          <w:rFonts w:ascii="Arial" w:hAnsi="Arial" w:cs="Arial"/>
          <w:sz w:val="24"/>
          <w:szCs w:val="24"/>
        </w:rPr>
        <w:t>, they had to ensure that the review was dealt with prior to the appeal. They simply had to seek a stay or postponement of the appeal pending the finalisation of the review application.</w:t>
      </w:r>
      <w:r w:rsidR="00264E0D">
        <w:rPr>
          <w:rFonts w:ascii="Arial" w:hAnsi="Arial" w:cs="Arial"/>
          <w:sz w:val="24"/>
          <w:szCs w:val="24"/>
        </w:rPr>
        <w:t xml:space="preserve"> The a</w:t>
      </w:r>
      <w:r w:rsidR="00264016">
        <w:rPr>
          <w:rFonts w:ascii="Arial" w:hAnsi="Arial" w:cs="Arial"/>
          <w:sz w:val="24"/>
          <w:szCs w:val="24"/>
        </w:rPr>
        <w:t>pplicants were not precluded from any right of access to the court they might otherwise have had. They simply had to manage the process and the fact they did not is simply their (or their lawyers’) making.</w:t>
      </w:r>
    </w:p>
    <w:p w:rsidR="008D2558" w:rsidRDefault="008D2558" w:rsidP="008D2558">
      <w:pPr>
        <w:spacing w:after="0" w:line="360" w:lineRule="auto"/>
        <w:jc w:val="both"/>
        <w:rPr>
          <w:rFonts w:ascii="Arial" w:hAnsi="Arial" w:cs="Arial"/>
          <w:sz w:val="24"/>
          <w:szCs w:val="24"/>
        </w:rPr>
      </w:pPr>
    </w:p>
    <w:p w:rsidR="008D2558" w:rsidRDefault="00264016" w:rsidP="00B0407B">
      <w:pPr>
        <w:spacing w:after="0" w:line="240" w:lineRule="auto"/>
        <w:jc w:val="both"/>
        <w:rPr>
          <w:rFonts w:ascii="Arial" w:hAnsi="Arial" w:cs="Arial"/>
          <w:sz w:val="24"/>
          <w:szCs w:val="24"/>
        </w:rPr>
      </w:pPr>
      <w:r>
        <w:rPr>
          <w:rFonts w:ascii="Arial" w:hAnsi="Arial" w:cs="Arial"/>
          <w:sz w:val="24"/>
          <w:szCs w:val="24"/>
        </w:rPr>
        <w:t>No case has thus been made out for the Supreme Court to invoke Art 81.</w:t>
      </w:r>
    </w:p>
    <w:p w:rsidR="00264016" w:rsidRDefault="00264016" w:rsidP="00B0407B">
      <w:pPr>
        <w:spacing w:after="0" w:line="240" w:lineRule="auto"/>
        <w:jc w:val="both"/>
        <w:rPr>
          <w:rFonts w:ascii="Arial" w:hAnsi="Arial" w:cs="Arial"/>
          <w:b/>
          <w:sz w:val="24"/>
          <w:szCs w:val="24"/>
        </w:rPr>
      </w:pPr>
    </w:p>
    <w:p w:rsidR="00902939" w:rsidRPr="00A41199" w:rsidRDefault="00902939" w:rsidP="00B0407B">
      <w:pPr>
        <w:spacing w:after="0" w:line="240" w:lineRule="auto"/>
        <w:jc w:val="both"/>
        <w:rPr>
          <w:rFonts w:ascii="Arial" w:hAnsi="Arial" w:cs="Arial"/>
          <w:b/>
          <w:sz w:val="24"/>
          <w:szCs w:val="24"/>
        </w:rPr>
      </w:pPr>
    </w:p>
    <w:p w:rsidR="00F16314" w:rsidRPr="00A41199" w:rsidRDefault="00F16314" w:rsidP="00B0407B">
      <w:pPr>
        <w:spacing w:after="0" w:line="240" w:lineRule="auto"/>
        <w:jc w:val="both"/>
        <w:rPr>
          <w:rFonts w:ascii="Arial" w:hAnsi="Arial" w:cs="Arial"/>
          <w:b/>
          <w:sz w:val="24"/>
          <w:szCs w:val="24"/>
        </w:rPr>
      </w:pPr>
      <w:r w:rsidRPr="00A41199">
        <w:rPr>
          <w:rFonts w:ascii="Arial" w:hAnsi="Arial" w:cs="Arial"/>
          <w:b/>
          <w:sz w:val="24"/>
          <w:szCs w:val="24"/>
        </w:rPr>
        <w:t>___________________________________________________________________</w:t>
      </w:r>
    </w:p>
    <w:p w:rsidR="00F16314" w:rsidRPr="00A41199" w:rsidRDefault="00F16314" w:rsidP="00B0407B">
      <w:pPr>
        <w:spacing w:after="0" w:line="240" w:lineRule="auto"/>
        <w:jc w:val="both"/>
        <w:rPr>
          <w:rFonts w:ascii="Arial" w:hAnsi="Arial" w:cs="Arial"/>
          <w:b/>
          <w:sz w:val="24"/>
          <w:szCs w:val="24"/>
        </w:rPr>
      </w:pPr>
    </w:p>
    <w:p w:rsidR="00F16314" w:rsidRPr="00A41199" w:rsidRDefault="00C72A9E" w:rsidP="00264016">
      <w:pPr>
        <w:spacing w:after="0" w:line="240" w:lineRule="auto"/>
        <w:jc w:val="center"/>
        <w:rPr>
          <w:rFonts w:ascii="Arial" w:hAnsi="Arial" w:cs="Arial"/>
          <w:b/>
          <w:sz w:val="24"/>
          <w:szCs w:val="24"/>
        </w:rPr>
      </w:pPr>
      <w:r w:rsidRPr="00A41199">
        <w:rPr>
          <w:rFonts w:ascii="Arial" w:hAnsi="Arial" w:cs="Arial"/>
          <w:b/>
          <w:sz w:val="24"/>
          <w:szCs w:val="24"/>
        </w:rPr>
        <w:lastRenderedPageBreak/>
        <w:t xml:space="preserve">JUDGMENT IN RESPECT OF </w:t>
      </w:r>
      <w:r w:rsidR="00532DBD">
        <w:rPr>
          <w:rFonts w:ascii="Arial" w:hAnsi="Arial" w:cs="Arial"/>
          <w:b/>
          <w:sz w:val="24"/>
          <w:szCs w:val="24"/>
        </w:rPr>
        <w:t xml:space="preserve">THE </w:t>
      </w:r>
      <w:r w:rsidRPr="00A41199">
        <w:rPr>
          <w:rFonts w:ascii="Arial" w:hAnsi="Arial" w:cs="Arial"/>
          <w:b/>
          <w:sz w:val="24"/>
          <w:szCs w:val="24"/>
        </w:rPr>
        <w:t>APPLICAT</w:t>
      </w:r>
      <w:r w:rsidR="00532DBD">
        <w:rPr>
          <w:rFonts w:ascii="Arial" w:hAnsi="Arial" w:cs="Arial"/>
          <w:b/>
          <w:sz w:val="24"/>
          <w:szCs w:val="24"/>
        </w:rPr>
        <w:t>IO</w:t>
      </w:r>
      <w:r w:rsidRPr="00A41199">
        <w:rPr>
          <w:rFonts w:ascii="Arial" w:hAnsi="Arial" w:cs="Arial"/>
          <w:b/>
          <w:sz w:val="24"/>
          <w:szCs w:val="24"/>
        </w:rPr>
        <w:t>N PURSUANT TO ARTICLE 81 OF THE NAMIBIAN CONSTI</w:t>
      </w:r>
      <w:r w:rsidR="00314461">
        <w:rPr>
          <w:rFonts w:ascii="Arial" w:hAnsi="Arial" w:cs="Arial"/>
          <w:b/>
          <w:sz w:val="24"/>
          <w:szCs w:val="24"/>
        </w:rPr>
        <w:t>TU</w:t>
      </w:r>
      <w:r w:rsidRPr="00A41199">
        <w:rPr>
          <w:rFonts w:ascii="Arial" w:hAnsi="Arial" w:cs="Arial"/>
          <w:b/>
          <w:sz w:val="24"/>
          <w:szCs w:val="24"/>
        </w:rPr>
        <w:t>TION</w:t>
      </w:r>
    </w:p>
    <w:p w:rsidR="005C6006" w:rsidRPr="00A41199" w:rsidRDefault="00F16314" w:rsidP="00B0407B">
      <w:pPr>
        <w:spacing w:after="0" w:line="240" w:lineRule="auto"/>
        <w:jc w:val="both"/>
        <w:rPr>
          <w:rFonts w:ascii="Arial" w:hAnsi="Arial" w:cs="Arial"/>
          <w:b/>
          <w:sz w:val="24"/>
          <w:szCs w:val="24"/>
        </w:rPr>
      </w:pPr>
      <w:r w:rsidRPr="00A41199">
        <w:rPr>
          <w:rFonts w:ascii="Arial" w:hAnsi="Arial" w:cs="Arial"/>
          <w:b/>
          <w:sz w:val="24"/>
          <w:szCs w:val="24"/>
        </w:rPr>
        <w:t>___________________________________________________________________</w:t>
      </w:r>
    </w:p>
    <w:p w:rsidR="00A41199" w:rsidRDefault="0023643E" w:rsidP="00B0407B">
      <w:pPr>
        <w:spacing w:after="0" w:line="480" w:lineRule="auto"/>
        <w:jc w:val="both"/>
        <w:rPr>
          <w:rFonts w:ascii="Arial" w:hAnsi="Arial" w:cs="Arial"/>
          <w:sz w:val="24"/>
          <w:szCs w:val="24"/>
        </w:rPr>
      </w:pPr>
      <w:r>
        <w:rPr>
          <w:rFonts w:ascii="Arial" w:hAnsi="Arial" w:cs="Arial"/>
          <w:sz w:val="24"/>
          <w:szCs w:val="24"/>
        </w:rPr>
        <w:t>FRANK</w:t>
      </w:r>
      <w:r w:rsidR="008133A7">
        <w:rPr>
          <w:rFonts w:ascii="Arial" w:hAnsi="Arial" w:cs="Arial"/>
          <w:sz w:val="24"/>
          <w:szCs w:val="24"/>
        </w:rPr>
        <w:t xml:space="preserve"> AJA</w:t>
      </w:r>
      <w:r>
        <w:rPr>
          <w:rFonts w:ascii="Arial" w:hAnsi="Arial" w:cs="Arial"/>
          <w:sz w:val="24"/>
          <w:szCs w:val="24"/>
        </w:rPr>
        <w:t>:</w:t>
      </w:r>
    </w:p>
    <w:p w:rsidR="00A41199" w:rsidRPr="008133A7" w:rsidRDefault="00A41199" w:rsidP="00B0407B">
      <w:pPr>
        <w:spacing w:after="0" w:line="480" w:lineRule="auto"/>
        <w:jc w:val="both"/>
        <w:rPr>
          <w:rFonts w:ascii="Arial" w:hAnsi="Arial" w:cs="Arial"/>
          <w:sz w:val="24"/>
          <w:szCs w:val="24"/>
        </w:rPr>
      </w:pPr>
    </w:p>
    <w:p w:rsidR="003C0F07" w:rsidRDefault="0092069E" w:rsidP="00B0407B">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 xml:space="preserve">The applicants were </w:t>
      </w:r>
      <w:r w:rsidR="0023643E">
        <w:rPr>
          <w:rFonts w:ascii="Arial" w:hAnsi="Arial" w:cs="Arial"/>
          <w:sz w:val="24"/>
          <w:szCs w:val="24"/>
        </w:rPr>
        <w:t>convicted in the M</w:t>
      </w:r>
      <w:r w:rsidR="002A2D1A">
        <w:rPr>
          <w:rFonts w:ascii="Arial" w:hAnsi="Arial" w:cs="Arial"/>
          <w:sz w:val="24"/>
          <w:szCs w:val="24"/>
        </w:rPr>
        <w:t>agistrates</w:t>
      </w:r>
      <w:r w:rsidR="0023643E">
        <w:rPr>
          <w:rFonts w:ascii="Arial" w:hAnsi="Arial" w:cs="Arial"/>
          <w:sz w:val="24"/>
          <w:szCs w:val="24"/>
        </w:rPr>
        <w:t>’ C</w:t>
      </w:r>
      <w:r w:rsidR="002A2D1A">
        <w:rPr>
          <w:rFonts w:ascii="Arial" w:hAnsi="Arial" w:cs="Arial"/>
          <w:sz w:val="24"/>
          <w:szCs w:val="24"/>
        </w:rPr>
        <w:t>ourt in Windhoek of contravening</w:t>
      </w:r>
      <w:r w:rsidR="00075A8A">
        <w:rPr>
          <w:rFonts w:ascii="Arial" w:hAnsi="Arial" w:cs="Arial"/>
          <w:sz w:val="24"/>
          <w:szCs w:val="24"/>
        </w:rPr>
        <w:t xml:space="preserve"> </w:t>
      </w:r>
      <w:proofErr w:type="spellStart"/>
      <w:r w:rsidR="00075A8A">
        <w:rPr>
          <w:rFonts w:ascii="Arial" w:hAnsi="Arial" w:cs="Arial"/>
          <w:sz w:val="24"/>
          <w:szCs w:val="24"/>
        </w:rPr>
        <w:t>ss</w:t>
      </w:r>
      <w:proofErr w:type="spellEnd"/>
      <w:r w:rsidR="00075A8A">
        <w:rPr>
          <w:rFonts w:ascii="Arial" w:hAnsi="Arial" w:cs="Arial"/>
          <w:sz w:val="24"/>
          <w:szCs w:val="24"/>
        </w:rPr>
        <w:t xml:space="preserve"> 27(1) and 54</w:t>
      </w:r>
      <w:r w:rsidR="00075A8A" w:rsidRPr="00314461">
        <w:rPr>
          <w:rFonts w:ascii="Arial" w:hAnsi="Arial" w:cs="Arial"/>
          <w:i/>
          <w:sz w:val="24"/>
          <w:szCs w:val="24"/>
        </w:rPr>
        <w:t>(e)</w:t>
      </w:r>
      <w:r w:rsidR="002A2D1A">
        <w:rPr>
          <w:rFonts w:ascii="Arial" w:hAnsi="Arial" w:cs="Arial"/>
          <w:sz w:val="24"/>
          <w:szCs w:val="24"/>
        </w:rPr>
        <w:t xml:space="preserve"> </w:t>
      </w:r>
      <w:r w:rsidR="0048770D">
        <w:rPr>
          <w:rFonts w:ascii="Arial" w:hAnsi="Arial" w:cs="Arial"/>
          <w:sz w:val="24"/>
          <w:szCs w:val="24"/>
        </w:rPr>
        <w:t xml:space="preserve">of the Immigration Control Act 7 of 1993 (ICA) and sentenced to </w:t>
      </w:r>
      <w:r w:rsidR="003C12BA">
        <w:rPr>
          <w:rFonts w:ascii="Arial" w:hAnsi="Arial" w:cs="Arial"/>
          <w:sz w:val="24"/>
          <w:szCs w:val="24"/>
        </w:rPr>
        <w:t>fines alternatively impris</w:t>
      </w:r>
      <w:r w:rsidR="006C3B06">
        <w:rPr>
          <w:rFonts w:ascii="Arial" w:hAnsi="Arial" w:cs="Arial"/>
          <w:sz w:val="24"/>
          <w:szCs w:val="24"/>
        </w:rPr>
        <w:t>onment</w:t>
      </w:r>
      <w:r w:rsidR="00055679">
        <w:rPr>
          <w:rFonts w:ascii="Arial" w:hAnsi="Arial" w:cs="Arial"/>
          <w:sz w:val="24"/>
          <w:szCs w:val="24"/>
        </w:rPr>
        <w:t>.</w:t>
      </w:r>
      <w:r w:rsidR="00F600D7">
        <w:rPr>
          <w:rStyle w:val="FootnoteReference"/>
          <w:rFonts w:ascii="Arial" w:hAnsi="Arial" w:cs="Arial"/>
          <w:sz w:val="24"/>
          <w:szCs w:val="24"/>
        </w:rPr>
        <w:footnoteReference w:id="1"/>
      </w:r>
      <w:r w:rsidR="006C3B06">
        <w:rPr>
          <w:rFonts w:ascii="Arial" w:hAnsi="Arial" w:cs="Arial"/>
          <w:sz w:val="24"/>
          <w:szCs w:val="24"/>
        </w:rPr>
        <w:t xml:space="preserve"> The applicants paid their fines and left Namibia to return to South Africa. </w:t>
      </w:r>
      <w:r w:rsidR="003C0F07">
        <w:rPr>
          <w:rFonts w:ascii="Arial" w:hAnsi="Arial" w:cs="Arial"/>
          <w:sz w:val="24"/>
          <w:szCs w:val="24"/>
        </w:rPr>
        <w:t>(The facts surrounding the</w:t>
      </w:r>
      <w:r w:rsidR="00B2711B">
        <w:rPr>
          <w:rFonts w:ascii="Arial" w:hAnsi="Arial" w:cs="Arial"/>
          <w:sz w:val="24"/>
          <w:szCs w:val="24"/>
        </w:rPr>
        <w:t>ir</w:t>
      </w:r>
      <w:r w:rsidR="003C0F07">
        <w:rPr>
          <w:rFonts w:ascii="Arial" w:hAnsi="Arial" w:cs="Arial"/>
          <w:sz w:val="24"/>
          <w:szCs w:val="24"/>
        </w:rPr>
        <w:t xml:space="preserve"> conviction</w:t>
      </w:r>
      <w:r w:rsidR="00B2711B">
        <w:rPr>
          <w:rFonts w:ascii="Arial" w:hAnsi="Arial" w:cs="Arial"/>
          <w:sz w:val="24"/>
          <w:szCs w:val="24"/>
        </w:rPr>
        <w:t>s</w:t>
      </w:r>
      <w:r w:rsidR="003C0F07">
        <w:rPr>
          <w:rFonts w:ascii="Arial" w:hAnsi="Arial" w:cs="Arial"/>
          <w:sz w:val="24"/>
          <w:szCs w:val="24"/>
        </w:rPr>
        <w:t xml:space="preserve"> and sentences are set out in more detail below)</w:t>
      </w:r>
      <w:r w:rsidR="00532DBD">
        <w:rPr>
          <w:rFonts w:ascii="Arial" w:hAnsi="Arial" w:cs="Arial"/>
          <w:sz w:val="24"/>
          <w:szCs w:val="24"/>
        </w:rPr>
        <w:t>.</w:t>
      </w:r>
    </w:p>
    <w:p w:rsidR="003C0F07" w:rsidRDefault="003C0F07" w:rsidP="003C0F07">
      <w:pPr>
        <w:pStyle w:val="NoSpacing"/>
        <w:spacing w:line="480" w:lineRule="auto"/>
        <w:jc w:val="both"/>
        <w:rPr>
          <w:rFonts w:ascii="Arial" w:hAnsi="Arial" w:cs="Arial"/>
          <w:sz w:val="24"/>
          <w:szCs w:val="24"/>
        </w:rPr>
      </w:pPr>
    </w:p>
    <w:p w:rsidR="00BC7BE6" w:rsidRDefault="003C0F07" w:rsidP="00A47996">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 xml:space="preserve">The applicants launched an application in the High Court </w:t>
      </w:r>
      <w:r w:rsidR="00680F33">
        <w:rPr>
          <w:rFonts w:ascii="Arial" w:hAnsi="Arial" w:cs="Arial"/>
          <w:sz w:val="24"/>
          <w:szCs w:val="24"/>
        </w:rPr>
        <w:t>to have their conviction</w:t>
      </w:r>
      <w:r w:rsidR="00B2711B">
        <w:rPr>
          <w:rFonts w:ascii="Arial" w:hAnsi="Arial" w:cs="Arial"/>
          <w:sz w:val="24"/>
          <w:szCs w:val="24"/>
        </w:rPr>
        <w:t>s</w:t>
      </w:r>
      <w:r w:rsidR="00680F33">
        <w:rPr>
          <w:rFonts w:ascii="Arial" w:hAnsi="Arial" w:cs="Arial"/>
          <w:sz w:val="24"/>
          <w:szCs w:val="24"/>
        </w:rPr>
        <w:t xml:space="preserve"> set aside </w:t>
      </w:r>
      <w:r w:rsidR="00057200">
        <w:rPr>
          <w:rFonts w:ascii="Arial" w:hAnsi="Arial" w:cs="Arial"/>
          <w:sz w:val="24"/>
          <w:szCs w:val="24"/>
        </w:rPr>
        <w:t>alleging</w:t>
      </w:r>
      <w:r w:rsidR="00680F33">
        <w:rPr>
          <w:rFonts w:ascii="Arial" w:hAnsi="Arial" w:cs="Arial"/>
          <w:sz w:val="24"/>
          <w:szCs w:val="24"/>
        </w:rPr>
        <w:t xml:space="preserve"> ther</w:t>
      </w:r>
      <w:r w:rsidR="00624E50">
        <w:rPr>
          <w:rFonts w:ascii="Arial" w:hAnsi="Arial" w:cs="Arial"/>
          <w:sz w:val="24"/>
          <w:szCs w:val="24"/>
        </w:rPr>
        <w:t>e</w:t>
      </w:r>
      <w:r w:rsidR="00680F33">
        <w:rPr>
          <w:rFonts w:ascii="Arial" w:hAnsi="Arial" w:cs="Arial"/>
          <w:sz w:val="24"/>
          <w:szCs w:val="24"/>
        </w:rPr>
        <w:t xml:space="preserve"> were </w:t>
      </w:r>
      <w:r w:rsidR="00532DBD">
        <w:rPr>
          <w:rFonts w:ascii="Arial" w:hAnsi="Arial" w:cs="Arial"/>
          <w:sz w:val="24"/>
          <w:szCs w:val="24"/>
        </w:rPr>
        <w:t>‘</w:t>
      </w:r>
      <w:r w:rsidR="00057200">
        <w:rPr>
          <w:rFonts w:ascii="Arial" w:hAnsi="Arial" w:cs="Arial"/>
          <w:sz w:val="24"/>
          <w:szCs w:val="24"/>
        </w:rPr>
        <w:t>irregularities</w:t>
      </w:r>
      <w:r w:rsidR="00624E50">
        <w:rPr>
          <w:rFonts w:ascii="Arial" w:hAnsi="Arial" w:cs="Arial"/>
          <w:sz w:val="24"/>
          <w:szCs w:val="24"/>
        </w:rPr>
        <w:t xml:space="preserve"> in the proceedings</w:t>
      </w:r>
      <w:r w:rsidR="00532DBD">
        <w:rPr>
          <w:rFonts w:ascii="Arial" w:hAnsi="Arial" w:cs="Arial"/>
          <w:sz w:val="24"/>
          <w:szCs w:val="24"/>
        </w:rPr>
        <w:t>’</w:t>
      </w:r>
      <w:r w:rsidR="00624E50">
        <w:rPr>
          <w:rFonts w:ascii="Arial" w:hAnsi="Arial" w:cs="Arial"/>
          <w:sz w:val="24"/>
          <w:szCs w:val="24"/>
        </w:rPr>
        <w:t xml:space="preserve"> at the magistrate’s court</w:t>
      </w:r>
      <w:r w:rsidR="0080361D">
        <w:rPr>
          <w:rFonts w:ascii="Arial" w:hAnsi="Arial" w:cs="Arial"/>
          <w:sz w:val="24"/>
          <w:szCs w:val="24"/>
        </w:rPr>
        <w:t xml:space="preserve">. They succeeded </w:t>
      </w:r>
      <w:r w:rsidR="00B307A0">
        <w:rPr>
          <w:rFonts w:ascii="Arial" w:hAnsi="Arial" w:cs="Arial"/>
          <w:sz w:val="24"/>
          <w:szCs w:val="24"/>
        </w:rPr>
        <w:t xml:space="preserve">with their application in the High Court which led to the respondents launching an appeal </w:t>
      </w:r>
      <w:r w:rsidR="00F4241B">
        <w:rPr>
          <w:rFonts w:ascii="Arial" w:hAnsi="Arial" w:cs="Arial"/>
          <w:sz w:val="24"/>
          <w:szCs w:val="24"/>
        </w:rPr>
        <w:t xml:space="preserve">against the setting aside of their convictions and sentences to this Court. This Court </w:t>
      </w:r>
      <w:r w:rsidR="00643E52">
        <w:rPr>
          <w:rFonts w:ascii="Arial" w:hAnsi="Arial" w:cs="Arial"/>
          <w:sz w:val="24"/>
          <w:szCs w:val="24"/>
        </w:rPr>
        <w:t xml:space="preserve">in </w:t>
      </w:r>
      <w:r w:rsidR="00643E52">
        <w:rPr>
          <w:rFonts w:ascii="Arial" w:hAnsi="Arial" w:cs="Arial"/>
          <w:i/>
          <w:sz w:val="24"/>
          <w:szCs w:val="24"/>
        </w:rPr>
        <w:t xml:space="preserve">Minister of Home Affairs &amp; </w:t>
      </w:r>
      <w:r w:rsidR="00532DBD">
        <w:rPr>
          <w:rFonts w:ascii="Arial" w:hAnsi="Arial" w:cs="Arial"/>
          <w:i/>
          <w:sz w:val="24"/>
          <w:szCs w:val="24"/>
        </w:rPr>
        <w:t>o</w:t>
      </w:r>
      <w:r w:rsidR="00643E52">
        <w:rPr>
          <w:rFonts w:ascii="Arial" w:hAnsi="Arial" w:cs="Arial"/>
          <w:i/>
          <w:sz w:val="24"/>
          <w:szCs w:val="24"/>
        </w:rPr>
        <w:t xml:space="preserve">thers v </w:t>
      </w:r>
      <w:proofErr w:type="spellStart"/>
      <w:r w:rsidR="00643E52">
        <w:rPr>
          <w:rFonts w:ascii="Arial" w:hAnsi="Arial" w:cs="Arial"/>
          <w:i/>
          <w:sz w:val="24"/>
          <w:szCs w:val="24"/>
        </w:rPr>
        <w:t>Hellens</w:t>
      </w:r>
      <w:proofErr w:type="spellEnd"/>
      <w:r w:rsidR="00643E52">
        <w:rPr>
          <w:rFonts w:ascii="Arial" w:hAnsi="Arial" w:cs="Arial"/>
          <w:i/>
          <w:sz w:val="24"/>
          <w:szCs w:val="24"/>
        </w:rPr>
        <w:t xml:space="preserve"> &amp; </w:t>
      </w:r>
      <w:r w:rsidR="00532DBD">
        <w:rPr>
          <w:rFonts w:ascii="Arial" w:hAnsi="Arial" w:cs="Arial"/>
          <w:i/>
          <w:sz w:val="24"/>
          <w:szCs w:val="24"/>
        </w:rPr>
        <w:t>a</w:t>
      </w:r>
      <w:r w:rsidR="00643E52">
        <w:rPr>
          <w:rFonts w:ascii="Arial" w:hAnsi="Arial" w:cs="Arial"/>
          <w:i/>
          <w:sz w:val="24"/>
          <w:szCs w:val="24"/>
        </w:rPr>
        <w:t>nother</w:t>
      </w:r>
      <w:r w:rsidR="00057200">
        <w:rPr>
          <w:rFonts w:ascii="Arial" w:hAnsi="Arial" w:cs="Arial"/>
          <w:i/>
          <w:sz w:val="24"/>
          <w:szCs w:val="24"/>
        </w:rPr>
        <w:t xml:space="preserve"> </w:t>
      </w:r>
      <w:r w:rsidR="00657430">
        <w:rPr>
          <w:rFonts w:ascii="Arial" w:hAnsi="Arial" w:cs="Arial"/>
          <w:sz w:val="24"/>
          <w:szCs w:val="24"/>
        </w:rPr>
        <w:t>(</w:t>
      </w:r>
      <w:proofErr w:type="spellStart"/>
      <w:r w:rsidR="00657430" w:rsidRPr="0013469B">
        <w:rPr>
          <w:rFonts w:ascii="Arial" w:hAnsi="Arial" w:cs="Arial"/>
          <w:i/>
          <w:sz w:val="24"/>
          <w:szCs w:val="24"/>
        </w:rPr>
        <w:t>Hellens</w:t>
      </w:r>
      <w:proofErr w:type="spellEnd"/>
      <w:r w:rsidR="00657430">
        <w:rPr>
          <w:rFonts w:ascii="Arial" w:hAnsi="Arial" w:cs="Arial"/>
          <w:sz w:val="24"/>
          <w:szCs w:val="24"/>
        </w:rPr>
        <w:t>)</w:t>
      </w:r>
      <w:r w:rsidR="00B70D02" w:rsidRPr="00B70D02">
        <w:rPr>
          <w:rStyle w:val="FootnoteReference"/>
          <w:rFonts w:ascii="Arial" w:hAnsi="Arial" w:cs="Arial"/>
          <w:sz w:val="24"/>
          <w:szCs w:val="24"/>
        </w:rPr>
        <w:footnoteReference w:id="2"/>
      </w:r>
      <w:r w:rsidR="00657430">
        <w:rPr>
          <w:rFonts w:ascii="Arial" w:hAnsi="Arial" w:cs="Arial"/>
          <w:sz w:val="24"/>
          <w:szCs w:val="24"/>
        </w:rPr>
        <w:t xml:space="preserve"> upheld the appeal and </w:t>
      </w:r>
      <w:r w:rsidR="00FA2681">
        <w:rPr>
          <w:rFonts w:ascii="Arial" w:hAnsi="Arial" w:cs="Arial"/>
          <w:sz w:val="24"/>
          <w:szCs w:val="24"/>
        </w:rPr>
        <w:t xml:space="preserve">hence, in effect, reinstated the convictions and sentences </w:t>
      </w:r>
      <w:r w:rsidR="00BC7BE6">
        <w:rPr>
          <w:rFonts w:ascii="Arial" w:hAnsi="Arial" w:cs="Arial"/>
          <w:sz w:val="24"/>
          <w:szCs w:val="24"/>
        </w:rPr>
        <w:t>of the applicants imposed by the magistrate’s court.</w:t>
      </w:r>
    </w:p>
    <w:p w:rsidR="00BC7BE6" w:rsidRDefault="00BC7BE6" w:rsidP="00BC7BE6">
      <w:pPr>
        <w:pStyle w:val="ListParagraph"/>
        <w:rPr>
          <w:rFonts w:ascii="Arial" w:hAnsi="Arial" w:cs="Arial"/>
          <w:sz w:val="24"/>
          <w:szCs w:val="24"/>
        </w:rPr>
      </w:pPr>
    </w:p>
    <w:p w:rsidR="002C4956" w:rsidRDefault="00BC7BE6" w:rsidP="00A47996">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 xml:space="preserve">As this Court is the apex court </w:t>
      </w:r>
      <w:r w:rsidR="00E67E0C">
        <w:rPr>
          <w:rFonts w:ascii="Arial" w:hAnsi="Arial" w:cs="Arial"/>
          <w:sz w:val="24"/>
          <w:szCs w:val="24"/>
        </w:rPr>
        <w:t xml:space="preserve">in Namibia there lies no appeal from </w:t>
      </w:r>
      <w:r w:rsidR="00A87CDC">
        <w:rPr>
          <w:rFonts w:ascii="Arial" w:hAnsi="Arial" w:cs="Arial"/>
          <w:sz w:val="24"/>
          <w:szCs w:val="24"/>
        </w:rPr>
        <w:t>this</w:t>
      </w:r>
      <w:r w:rsidR="00E67E0C">
        <w:rPr>
          <w:rFonts w:ascii="Arial" w:hAnsi="Arial" w:cs="Arial"/>
          <w:sz w:val="24"/>
          <w:szCs w:val="24"/>
        </w:rPr>
        <w:t xml:space="preserve"> judgment</w:t>
      </w:r>
      <w:r w:rsidR="00A87CDC">
        <w:rPr>
          <w:rFonts w:ascii="Arial" w:hAnsi="Arial" w:cs="Arial"/>
          <w:sz w:val="24"/>
          <w:szCs w:val="24"/>
        </w:rPr>
        <w:t xml:space="preserve">. This Court is the only court that can revisit the decision in </w:t>
      </w:r>
      <w:proofErr w:type="spellStart"/>
      <w:r w:rsidR="00A87CDC">
        <w:rPr>
          <w:rFonts w:ascii="Arial" w:hAnsi="Arial" w:cs="Arial"/>
          <w:i/>
          <w:sz w:val="24"/>
          <w:szCs w:val="24"/>
        </w:rPr>
        <w:t>He</w:t>
      </w:r>
      <w:r w:rsidR="00FA4C11">
        <w:rPr>
          <w:rFonts w:ascii="Arial" w:hAnsi="Arial" w:cs="Arial"/>
          <w:i/>
          <w:sz w:val="24"/>
          <w:szCs w:val="24"/>
        </w:rPr>
        <w:t>l</w:t>
      </w:r>
      <w:r w:rsidR="00A87CDC">
        <w:rPr>
          <w:rFonts w:ascii="Arial" w:hAnsi="Arial" w:cs="Arial"/>
          <w:i/>
          <w:sz w:val="24"/>
          <w:szCs w:val="24"/>
        </w:rPr>
        <w:t>lens</w:t>
      </w:r>
      <w:proofErr w:type="spellEnd"/>
      <w:r w:rsidR="00A87CDC">
        <w:rPr>
          <w:rFonts w:ascii="Arial" w:hAnsi="Arial" w:cs="Arial"/>
          <w:i/>
          <w:sz w:val="24"/>
          <w:szCs w:val="24"/>
        </w:rPr>
        <w:t xml:space="preserve"> </w:t>
      </w:r>
      <w:r w:rsidR="00A87CDC">
        <w:rPr>
          <w:rFonts w:ascii="Arial" w:hAnsi="Arial" w:cs="Arial"/>
          <w:sz w:val="24"/>
          <w:szCs w:val="24"/>
        </w:rPr>
        <w:t>pursuant to Art</w:t>
      </w:r>
      <w:r w:rsidR="003847D8">
        <w:rPr>
          <w:rFonts w:ascii="Arial" w:hAnsi="Arial" w:cs="Arial"/>
          <w:sz w:val="24"/>
          <w:szCs w:val="24"/>
        </w:rPr>
        <w:t xml:space="preserve"> </w:t>
      </w:r>
      <w:r w:rsidR="00A87CDC">
        <w:rPr>
          <w:rFonts w:ascii="Arial" w:hAnsi="Arial" w:cs="Arial"/>
          <w:sz w:val="24"/>
          <w:szCs w:val="24"/>
        </w:rPr>
        <w:t>8</w:t>
      </w:r>
      <w:r w:rsidR="003847D8">
        <w:rPr>
          <w:rFonts w:ascii="Arial" w:hAnsi="Arial" w:cs="Arial"/>
          <w:sz w:val="24"/>
          <w:szCs w:val="24"/>
        </w:rPr>
        <w:t>1</w:t>
      </w:r>
      <w:r w:rsidR="00A87CDC">
        <w:rPr>
          <w:rFonts w:ascii="Arial" w:hAnsi="Arial" w:cs="Arial"/>
          <w:sz w:val="24"/>
          <w:szCs w:val="24"/>
        </w:rPr>
        <w:t xml:space="preserve"> </w:t>
      </w:r>
      <w:r w:rsidR="003847D8">
        <w:rPr>
          <w:rFonts w:ascii="Arial" w:hAnsi="Arial" w:cs="Arial"/>
          <w:sz w:val="24"/>
          <w:szCs w:val="24"/>
        </w:rPr>
        <w:t xml:space="preserve">of the Namibian Constitution </w:t>
      </w:r>
      <w:r w:rsidR="002C4956">
        <w:rPr>
          <w:rFonts w:ascii="Arial" w:hAnsi="Arial" w:cs="Arial"/>
          <w:sz w:val="24"/>
          <w:szCs w:val="24"/>
        </w:rPr>
        <w:t>which reads as follows:</w:t>
      </w:r>
    </w:p>
    <w:p w:rsidR="002C4956" w:rsidRDefault="002C4956" w:rsidP="0013469B">
      <w:pPr>
        <w:pStyle w:val="ListParagraph"/>
        <w:spacing w:line="480" w:lineRule="auto"/>
        <w:rPr>
          <w:rFonts w:ascii="Arial" w:hAnsi="Arial" w:cs="Arial"/>
          <w:sz w:val="24"/>
          <w:szCs w:val="24"/>
        </w:rPr>
      </w:pPr>
    </w:p>
    <w:p w:rsidR="002C4956" w:rsidRPr="002C4956" w:rsidRDefault="002C4956" w:rsidP="002C4956">
      <w:pPr>
        <w:pStyle w:val="NoSpacing"/>
        <w:spacing w:line="360" w:lineRule="auto"/>
        <w:ind w:left="720"/>
        <w:jc w:val="both"/>
        <w:rPr>
          <w:rFonts w:ascii="Arial" w:hAnsi="Arial" w:cs="Arial"/>
        </w:rPr>
      </w:pPr>
      <w:r w:rsidRPr="002C4956">
        <w:rPr>
          <w:rFonts w:ascii="Arial" w:hAnsi="Arial" w:cs="Arial"/>
        </w:rPr>
        <w:t>‘</w:t>
      </w:r>
      <w:r w:rsidR="00FA4C11">
        <w:rPr>
          <w:rFonts w:ascii="Arial" w:hAnsi="Arial" w:cs="Arial"/>
        </w:rPr>
        <w:t>A</w:t>
      </w:r>
      <w:r w:rsidR="00F44D96">
        <w:rPr>
          <w:rFonts w:ascii="Arial" w:hAnsi="Arial" w:cs="Arial"/>
        </w:rPr>
        <w:t xml:space="preserve"> decision of the Supreme Court shall be binding on all other courts </w:t>
      </w:r>
      <w:r w:rsidR="00373D90">
        <w:rPr>
          <w:rFonts w:ascii="Arial" w:hAnsi="Arial" w:cs="Arial"/>
        </w:rPr>
        <w:t xml:space="preserve">of Namibia and all persons in Namibia unless it is reversed </w:t>
      </w:r>
      <w:r w:rsidR="007068B6">
        <w:rPr>
          <w:rFonts w:ascii="Arial" w:hAnsi="Arial" w:cs="Arial"/>
        </w:rPr>
        <w:t>by the Supreme Court itself, or is contradicted by an Act of Parliament lawfully enacted</w:t>
      </w:r>
      <w:r w:rsidR="00532DBD">
        <w:rPr>
          <w:rFonts w:ascii="Arial" w:hAnsi="Arial" w:cs="Arial"/>
        </w:rPr>
        <w:t>.</w:t>
      </w:r>
      <w:r w:rsidR="00BE1496">
        <w:rPr>
          <w:rFonts w:ascii="Arial" w:hAnsi="Arial" w:cs="Arial"/>
        </w:rPr>
        <w:t>’</w:t>
      </w:r>
    </w:p>
    <w:p w:rsidR="002C4956" w:rsidRDefault="002C4956" w:rsidP="0013469B">
      <w:pPr>
        <w:pStyle w:val="ListParagraph"/>
        <w:spacing w:line="480" w:lineRule="auto"/>
        <w:rPr>
          <w:rFonts w:ascii="Arial" w:hAnsi="Arial" w:cs="Arial"/>
          <w:sz w:val="24"/>
          <w:szCs w:val="24"/>
        </w:rPr>
      </w:pPr>
    </w:p>
    <w:p w:rsidR="00990F66" w:rsidRDefault="00BE1496" w:rsidP="00A47996">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 xml:space="preserve">In </w:t>
      </w:r>
      <w:r>
        <w:rPr>
          <w:rFonts w:ascii="Arial" w:hAnsi="Arial" w:cs="Arial"/>
          <w:i/>
          <w:sz w:val="24"/>
          <w:szCs w:val="24"/>
        </w:rPr>
        <w:t xml:space="preserve">State v </w:t>
      </w:r>
      <w:proofErr w:type="spellStart"/>
      <w:r w:rsidR="00F77D3D">
        <w:rPr>
          <w:rFonts w:ascii="Arial" w:hAnsi="Arial" w:cs="Arial"/>
          <w:i/>
          <w:sz w:val="24"/>
          <w:szCs w:val="24"/>
        </w:rPr>
        <w:t>Likanyi</w:t>
      </w:r>
      <w:proofErr w:type="spellEnd"/>
      <w:r w:rsidR="00AD396C">
        <w:rPr>
          <w:rFonts w:ascii="Arial" w:hAnsi="Arial" w:cs="Arial"/>
          <w:sz w:val="24"/>
          <w:szCs w:val="24"/>
        </w:rPr>
        <w:t>,</w:t>
      </w:r>
      <w:r w:rsidR="00F77D3D" w:rsidRPr="00532DBD">
        <w:rPr>
          <w:rStyle w:val="FootnoteReference"/>
          <w:rFonts w:ascii="Arial" w:hAnsi="Arial" w:cs="Arial"/>
          <w:sz w:val="24"/>
          <w:szCs w:val="24"/>
        </w:rPr>
        <w:footnoteReference w:id="3"/>
      </w:r>
      <w:r w:rsidR="00833CD4">
        <w:rPr>
          <w:rFonts w:ascii="Arial" w:hAnsi="Arial" w:cs="Arial"/>
          <w:i/>
          <w:sz w:val="24"/>
          <w:szCs w:val="24"/>
        </w:rPr>
        <w:t xml:space="preserve"> </w:t>
      </w:r>
      <w:r w:rsidR="00833CD4">
        <w:rPr>
          <w:rFonts w:ascii="Arial" w:hAnsi="Arial" w:cs="Arial"/>
          <w:sz w:val="24"/>
          <w:szCs w:val="24"/>
        </w:rPr>
        <w:t xml:space="preserve">this Court held that the power to </w:t>
      </w:r>
      <w:r w:rsidR="00552641">
        <w:rPr>
          <w:rFonts w:ascii="Arial" w:hAnsi="Arial" w:cs="Arial"/>
          <w:sz w:val="24"/>
          <w:szCs w:val="24"/>
        </w:rPr>
        <w:t xml:space="preserve">revisit its decisions would be exercised sparingly and only in exceptional matters to correct injustices </w:t>
      </w:r>
      <w:r w:rsidR="00C44228">
        <w:rPr>
          <w:rFonts w:ascii="Arial" w:hAnsi="Arial" w:cs="Arial"/>
          <w:sz w:val="24"/>
          <w:szCs w:val="24"/>
        </w:rPr>
        <w:t xml:space="preserve">caused to the parties by </w:t>
      </w:r>
      <w:r w:rsidR="00760E39">
        <w:rPr>
          <w:rFonts w:ascii="Arial" w:hAnsi="Arial" w:cs="Arial"/>
          <w:sz w:val="24"/>
          <w:szCs w:val="24"/>
        </w:rPr>
        <w:t xml:space="preserve">the </w:t>
      </w:r>
      <w:r w:rsidR="00055679">
        <w:rPr>
          <w:rFonts w:ascii="Arial" w:hAnsi="Arial" w:cs="Arial"/>
          <w:sz w:val="24"/>
          <w:szCs w:val="24"/>
        </w:rPr>
        <w:t>‘</w:t>
      </w:r>
      <w:r w:rsidR="00C44228">
        <w:rPr>
          <w:rFonts w:ascii="Arial" w:hAnsi="Arial" w:cs="Arial"/>
          <w:sz w:val="24"/>
          <w:szCs w:val="24"/>
        </w:rPr>
        <w:t>wrong</w:t>
      </w:r>
      <w:r w:rsidR="00760E39">
        <w:rPr>
          <w:rFonts w:ascii="Arial" w:hAnsi="Arial" w:cs="Arial"/>
          <w:sz w:val="24"/>
          <w:szCs w:val="24"/>
        </w:rPr>
        <w:t xml:space="preserve"> application of the law to the facts which resulted in an </w:t>
      </w:r>
      <w:r w:rsidR="00F40900">
        <w:rPr>
          <w:rFonts w:ascii="Arial" w:hAnsi="Arial" w:cs="Arial"/>
          <w:sz w:val="24"/>
          <w:szCs w:val="24"/>
        </w:rPr>
        <w:t xml:space="preserve">indefensible </w:t>
      </w:r>
      <w:r w:rsidR="00990F66">
        <w:rPr>
          <w:rFonts w:ascii="Arial" w:hAnsi="Arial" w:cs="Arial"/>
          <w:sz w:val="24"/>
          <w:szCs w:val="24"/>
        </w:rPr>
        <w:t>and manifest injustice</w:t>
      </w:r>
      <w:r w:rsidR="00532DBD">
        <w:rPr>
          <w:rFonts w:ascii="Arial" w:hAnsi="Arial" w:cs="Arial"/>
          <w:sz w:val="24"/>
          <w:szCs w:val="24"/>
        </w:rPr>
        <w:t>’</w:t>
      </w:r>
      <w:r w:rsidR="00990F66">
        <w:rPr>
          <w:rFonts w:ascii="Arial" w:hAnsi="Arial" w:cs="Arial"/>
          <w:sz w:val="24"/>
          <w:szCs w:val="24"/>
        </w:rPr>
        <w:t>.</w:t>
      </w:r>
    </w:p>
    <w:p w:rsidR="00990F66" w:rsidRDefault="00990F66" w:rsidP="00990F66">
      <w:pPr>
        <w:pStyle w:val="NoSpacing"/>
        <w:spacing w:line="480" w:lineRule="auto"/>
        <w:jc w:val="both"/>
        <w:rPr>
          <w:rFonts w:ascii="Arial" w:hAnsi="Arial" w:cs="Arial"/>
          <w:sz w:val="24"/>
          <w:szCs w:val="24"/>
        </w:rPr>
      </w:pPr>
    </w:p>
    <w:p w:rsidR="000C337F" w:rsidRDefault="00990F66" w:rsidP="00A47996">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As neither the Supr</w:t>
      </w:r>
      <w:r w:rsidR="0013469B">
        <w:rPr>
          <w:rFonts w:ascii="Arial" w:hAnsi="Arial" w:cs="Arial"/>
          <w:sz w:val="24"/>
          <w:szCs w:val="24"/>
        </w:rPr>
        <w:t xml:space="preserve">eme Court Act </w:t>
      </w:r>
      <w:r>
        <w:rPr>
          <w:rFonts w:ascii="Arial" w:hAnsi="Arial" w:cs="Arial"/>
          <w:sz w:val="24"/>
          <w:szCs w:val="24"/>
        </w:rPr>
        <w:t xml:space="preserve">15 of 1990 nor the </w:t>
      </w:r>
      <w:r w:rsidR="00532DBD">
        <w:rPr>
          <w:rFonts w:ascii="Arial" w:hAnsi="Arial" w:cs="Arial"/>
          <w:sz w:val="24"/>
          <w:szCs w:val="24"/>
        </w:rPr>
        <w:t>R</w:t>
      </w:r>
      <w:r>
        <w:rPr>
          <w:rFonts w:ascii="Arial" w:hAnsi="Arial" w:cs="Arial"/>
          <w:sz w:val="24"/>
          <w:szCs w:val="24"/>
        </w:rPr>
        <w:t xml:space="preserve">ules of the Supreme Court </w:t>
      </w:r>
      <w:r w:rsidR="00055679">
        <w:rPr>
          <w:rFonts w:ascii="Arial" w:hAnsi="Arial" w:cs="Arial"/>
          <w:sz w:val="24"/>
          <w:szCs w:val="24"/>
        </w:rPr>
        <w:t>make</w:t>
      </w:r>
      <w:r w:rsidR="004B0187">
        <w:rPr>
          <w:rFonts w:ascii="Arial" w:hAnsi="Arial" w:cs="Arial"/>
          <w:sz w:val="24"/>
          <w:szCs w:val="24"/>
        </w:rPr>
        <w:t xml:space="preserve"> provision for applications in terms of Art 81 of the Constitution </w:t>
      </w:r>
      <w:r w:rsidR="00FB712E">
        <w:rPr>
          <w:rFonts w:ascii="Arial" w:hAnsi="Arial" w:cs="Arial"/>
          <w:sz w:val="24"/>
          <w:szCs w:val="24"/>
        </w:rPr>
        <w:t>such applications are dealt with pursuant to the inherent jurisdiction of this Court</w:t>
      </w:r>
      <w:r w:rsidR="0013469B">
        <w:rPr>
          <w:rFonts w:ascii="Arial" w:hAnsi="Arial" w:cs="Arial"/>
          <w:sz w:val="24"/>
          <w:szCs w:val="24"/>
        </w:rPr>
        <w:t>.</w:t>
      </w:r>
      <w:r w:rsidR="009571D3">
        <w:rPr>
          <w:rStyle w:val="FootnoteReference"/>
          <w:rFonts w:ascii="Arial" w:hAnsi="Arial" w:cs="Arial"/>
          <w:sz w:val="24"/>
          <w:szCs w:val="24"/>
        </w:rPr>
        <w:footnoteReference w:id="4"/>
      </w:r>
      <w:r w:rsidR="009571D3">
        <w:rPr>
          <w:rFonts w:ascii="Arial" w:hAnsi="Arial" w:cs="Arial"/>
          <w:sz w:val="24"/>
          <w:szCs w:val="24"/>
        </w:rPr>
        <w:t xml:space="preserve"> It </w:t>
      </w:r>
      <w:r w:rsidR="0013469B">
        <w:rPr>
          <w:rFonts w:ascii="Arial" w:hAnsi="Arial" w:cs="Arial"/>
          <w:sz w:val="24"/>
          <w:szCs w:val="24"/>
        </w:rPr>
        <w:t>is important to emphasi</w:t>
      </w:r>
      <w:r w:rsidR="00AD396C">
        <w:rPr>
          <w:rFonts w:ascii="Arial" w:hAnsi="Arial" w:cs="Arial"/>
          <w:sz w:val="24"/>
          <w:szCs w:val="24"/>
        </w:rPr>
        <w:t>s</w:t>
      </w:r>
      <w:r w:rsidR="002322DB">
        <w:rPr>
          <w:rFonts w:ascii="Arial" w:hAnsi="Arial" w:cs="Arial"/>
          <w:sz w:val="24"/>
          <w:szCs w:val="24"/>
        </w:rPr>
        <w:t xml:space="preserve">e the fact that such applications will only be allowed in exceptional </w:t>
      </w:r>
      <w:r w:rsidR="000E1B7D">
        <w:rPr>
          <w:rFonts w:ascii="Arial" w:hAnsi="Arial" w:cs="Arial"/>
          <w:sz w:val="24"/>
          <w:szCs w:val="24"/>
        </w:rPr>
        <w:t xml:space="preserve">circumstances. In </w:t>
      </w:r>
      <w:proofErr w:type="spellStart"/>
      <w:r w:rsidR="000E1B7D">
        <w:rPr>
          <w:rFonts w:ascii="Arial" w:hAnsi="Arial" w:cs="Arial"/>
          <w:i/>
          <w:sz w:val="24"/>
          <w:szCs w:val="24"/>
        </w:rPr>
        <w:t>Likanyi</w:t>
      </w:r>
      <w:proofErr w:type="spellEnd"/>
      <w:r w:rsidR="000E1B7D">
        <w:rPr>
          <w:rFonts w:ascii="Arial" w:hAnsi="Arial" w:cs="Arial"/>
          <w:i/>
          <w:sz w:val="24"/>
          <w:szCs w:val="24"/>
        </w:rPr>
        <w:t xml:space="preserve"> </w:t>
      </w:r>
      <w:r w:rsidR="000E1B7D">
        <w:rPr>
          <w:rFonts w:ascii="Arial" w:hAnsi="Arial" w:cs="Arial"/>
          <w:sz w:val="24"/>
          <w:szCs w:val="24"/>
        </w:rPr>
        <w:t>the position is stated as follows</w:t>
      </w:r>
      <w:r w:rsidR="000C337F">
        <w:rPr>
          <w:rFonts w:ascii="Arial" w:hAnsi="Arial" w:cs="Arial"/>
          <w:sz w:val="24"/>
          <w:szCs w:val="24"/>
        </w:rPr>
        <w:t xml:space="preserve"> in para 58:</w:t>
      </w:r>
    </w:p>
    <w:p w:rsidR="000C337F" w:rsidRDefault="000C337F" w:rsidP="000C337F">
      <w:pPr>
        <w:pStyle w:val="ListParagraph"/>
        <w:rPr>
          <w:rFonts w:ascii="Arial" w:hAnsi="Arial" w:cs="Arial"/>
          <w:sz w:val="24"/>
          <w:szCs w:val="24"/>
        </w:rPr>
      </w:pPr>
    </w:p>
    <w:p w:rsidR="000C337F" w:rsidRPr="000C337F" w:rsidRDefault="000C337F" w:rsidP="000C337F">
      <w:pPr>
        <w:pStyle w:val="NoSpacing"/>
        <w:spacing w:line="360" w:lineRule="auto"/>
        <w:ind w:left="720"/>
        <w:jc w:val="both"/>
        <w:rPr>
          <w:rFonts w:ascii="Arial" w:hAnsi="Arial" w:cs="Arial"/>
        </w:rPr>
      </w:pPr>
      <w:r>
        <w:rPr>
          <w:rFonts w:ascii="Arial" w:hAnsi="Arial" w:cs="Arial"/>
        </w:rPr>
        <w:t>‘</w:t>
      </w:r>
      <w:r w:rsidR="00A65F48">
        <w:rPr>
          <w:rFonts w:ascii="Arial" w:hAnsi="Arial" w:cs="Arial"/>
        </w:rPr>
        <w:t xml:space="preserve">I cannot stress too strongly that the Supreme Court will, as a general rule, not entertain any attempt (relying on art 81) to reopen a case previously adjudicated and determined just because subsequently </w:t>
      </w:r>
      <w:r w:rsidR="00E83B93">
        <w:rPr>
          <w:rFonts w:ascii="Arial" w:hAnsi="Arial" w:cs="Arial"/>
        </w:rPr>
        <w:t>we think it may have been wrongly decided. In addition, no litiga</w:t>
      </w:r>
      <w:r w:rsidR="00055679">
        <w:rPr>
          <w:rFonts w:ascii="Arial" w:hAnsi="Arial" w:cs="Arial"/>
        </w:rPr>
        <w:t>n</w:t>
      </w:r>
      <w:r w:rsidR="00E83B93">
        <w:rPr>
          <w:rFonts w:ascii="Arial" w:hAnsi="Arial" w:cs="Arial"/>
        </w:rPr>
        <w:t xml:space="preserve">t may as of right come to this court to reopen its prior decision in terms of art 81. The Chief Justice will, upon a representation made, consider the matter and only if </w:t>
      </w:r>
      <w:r w:rsidR="003C2F8E">
        <w:rPr>
          <w:rFonts w:ascii="Arial" w:hAnsi="Arial" w:cs="Arial"/>
        </w:rPr>
        <w:t xml:space="preserve">satisfied </w:t>
      </w:r>
      <w:r w:rsidR="00FD24FC">
        <w:rPr>
          <w:rFonts w:ascii="Arial" w:hAnsi="Arial" w:cs="Arial"/>
        </w:rPr>
        <w:t xml:space="preserve">that exceptional circumstances exist having regard to all circumstances – including the imperative to </w:t>
      </w:r>
      <w:r w:rsidR="00057200">
        <w:rPr>
          <w:rFonts w:ascii="Arial" w:hAnsi="Arial" w:cs="Arial"/>
        </w:rPr>
        <w:t>safeguard</w:t>
      </w:r>
      <w:r w:rsidR="00FD24FC">
        <w:rPr>
          <w:rFonts w:ascii="Arial" w:hAnsi="Arial" w:cs="Arial"/>
        </w:rPr>
        <w:t xml:space="preserve"> finality to litigation – afford leave for the matter </w:t>
      </w:r>
      <w:r w:rsidR="008B1946">
        <w:rPr>
          <w:rFonts w:ascii="Arial" w:hAnsi="Arial" w:cs="Arial"/>
        </w:rPr>
        <w:t>to be argued and give direction</w:t>
      </w:r>
      <w:r w:rsidR="0035400F">
        <w:rPr>
          <w:rFonts w:ascii="Arial" w:hAnsi="Arial" w:cs="Arial"/>
        </w:rPr>
        <w:t>s as to how it will be heard</w:t>
      </w:r>
      <w:r w:rsidR="00532DBD">
        <w:rPr>
          <w:rFonts w:ascii="Arial" w:hAnsi="Arial" w:cs="Arial"/>
        </w:rPr>
        <w:t>.</w:t>
      </w:r>
      <w:r w:rsidR="00530C88">
        <w:rPr>
          <w:rFonts w:ascii="Arial" w:hAnsi="Arial" w:cs="Arial"/>
        </w:rPr>
        <w:t>’</w:t>
      </w:r>
    </w:p>
    <w:p w:rsidR="000C337F" w:rsidRDefault="000C337F" w:rsidP="000C337F">
      <w:pPr>
        <w:pStyle w:val="ListParagraph"/>
        <w:rPr>
          <w:rFonts w:ascii="Arial" w:hAnsi="Arial" w:cs="Arial"/>
          <w:sz w:val="24"/>
          <w:szCs w:val="24"/>
        </w:rPr>
      </w:pPr>
    </w:p>
    <w:p w:rsidR="0023129A" w:rsidRDefault="008D705F" w:rsidP="00A47996">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The</w:t>
      </w:r>
      <w:r w:rsidR="0035400F">
        <w:rPr>
          <w:rFonts w:ascii="Arial" w:hAnsi="Arial" w:cs="Arial"/>
          <w:sz w:val="24"/>
          <w:szCs w:val="24"/>
        </w:rPr>
        <w:t xml:space="preserve"> Chief Justice has designated the task to me to determine whether the applicants have made out a case </w:t>
      </w:r>
      <w:r w:rsidR="00861C84">
        <w:rPr>
          <w:rFonts w:ascii="Arial" w:hAnsi="Arial" w:cs="Arial"/>
          <w:sz w:val="24"/>
          <w:szCs w:val="24"/>
        </w:rPr>
        <w:t xml:space="preserve">for this Court to </w:t>
      </w:r>
      <w:r w:rsidR="00057200">
        <w:rPr>
          <w:rFonts w:ascii="Arial" w:hAnsi="Arial" w:cs="Arial"/>
          <w:sz w:val="24"/>
          <w:szCs w:val="24"/>
        </w:rPr>
        <w:t>consider</w:t>
      </w:r>
      <w:r w:rsidR="00774AAE">
        <w:rPr>
          <w:rFonts w:ascii="Arial" w:hAnsi="Arial" w:cs="Arial"/>
          <w:sz w:val="24"/>
          <w:szCs w:val="24"/>
        </w:rPr>
        <w:t xml:space="preserve"> revisiting</w:t>
      </w:r>
      <w:r w:rsidR="00861C84">
        <w:rPr>
          <w:rFonts w:ascii="Arial" w:hAnsi="Arial" w:cs="Arial"/>
          <w:sz w:val="24"/>
          <w:szCs w:val="24"/>
        </w:rPr>
        <w:t xml:space="preserve"> the decision </w:t>
      </w:r>
      <w:r w:rsidR="0085010B">
        <w:rPr>
          <w:rFonts w:ascii="Arial" w:hAnsi="Arial" w:cs="Arial"/>
          <w:sz w:val="24"/>
          <w:szCs w:val="24"/>
        </w:rPr>
        <w:t xml:space="preserve">in </w:t>
      </w:r>
      <w:proofErr w:type="spellStart"/>
      <w:r w:rsidR="0085010B">
        <w:rPr>
          <w:rFonts w:ascii="Arial" w:hAnsi="Arial" w:cs="Arial"/>
          <w:i/>
          <w:sz w:val="24"/>
          <w:szCs w:val="24"/>
        </w:rPr>
        <w:t>Hellens</w:t>
      </w:r>
      <w:proofErr w:type="spellEnd"/>
      <w:r w:rsidR="0085010B">
        <w:rPr>
          <w:rFonts w:ascii="Arial" w:hAnsi="Arial" w:cs="Arial"/>
          <w:sz w:val="24"/>
          <w:szCs w:val="24"/>
        </w:rPr>
        <w:t>.</w:t>
      </w:r>
    </w:p>
    <w:p w:rsidR="006D7C2D" w:rsidRDefault="006D7C2D" w:rsidP="006D7C2D">
      <w:pPr>
        <w:pStyle w:val="NoSpacing"/>
        <w:spacing w:line="480" w:lineRule="auto"/>
        <w:jc w:val="both"/>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According to the applicants</w:t>
      </w:r>
      <w:r w:rsidR="00532DBD">
        <w:rPr>
          <w:rFonts w:ascii="Arial" w:hAnsi="Arial" w:cs="Arial"/>
          <w:sz w:val="24"/>
          <w:szCs w:val="24"/>
        </w:rPr>
        <w:t>,</w:t>
      </w:r>
      <w:r>
        <w:rPr>
          <w:rFonts w:ascii="Arial" w:hAnsi="Arial" w:cs="Arial"/>
          <w:sz w:val="24"/>
          <w:szCs w:val="24"/>
        </w:rPr>
        <w:t xml:space="preserve"> they br</w:t>
      </w:r>
      <w:r w:rsidR="00F55F2B">
        <w:rPr>
          <w:rFonts w:ascii="Arial" w:hAnsi="Arial" w:cs="Arial"/>
          <w:sz w:val="24"/>
          <w:szCs w:val="24"/>
        </w:rPr>
        <w:t>ought</w:t>
      </w:r>
      <w:r>
        <w:rPr>
          <w:rFonts w:ascii="Arial" w:hAnsi="Arial" w:cs="Arial"/>
          <w:sz w:val="24"/>
          <w:szCs w:val="24"/>
        </w:rPr>
        <w:t xml:space="preserve"> this application on the basis that their case is an exceptional case to correct an injustice done to them and</w:t>
      </w:r>
      <w:r w:rsidR="00055679">
        <w:rPr>
          <w:rFonts w:ascii="Arial" w:hAnsi="Arial" w:cs="Arial"/>
          <w:sz w:val="24"/>
          <w:szCs w:val="24"/>
        </w:rPr>
        <w:t>,</w:t>
      </w:r>
      <w:r>
        <w:rPr>
          <w:rFonts w:ascii="Arial" w:hAnsi="Arial" w:cs="Arial"/>
          <w:sz w:val="24"/>
          <w:szCs w:val="24"/>
        </w:rPr>
        <w:t xml:space="preserve"> as they put it</w:t>
      </w:r>
      <w:r w:rsidR="00055679">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 xml:space="preserve">the judgment of this Court (which they referred to as an opinion) ‘resulted in an indefensible and manifest injustice done’ to them. These criteria they state with reference to </w:t>
      </w:r>
      <w:proofErr w:type="spellStart"/>
      <w:r w:rsidRPr="00366250">
        <w:rPr>
          <w:rFonts w:ascii="Arial" w:hAnsi="Arial" w:cs="Arial"/>
          <w:i/>
          <w:sz w:val="24"/>
          <w:szCs w:val="24"/>
        </w:rPr>
        <w:t>Likanyi</w:t>
      </w:r>
      <w:proofErr w:type="spellEnd"/>
      <w:r w:rsidR="00532DBD">
        <w:rPr>
          <w:rFonts w:ascii="Arial" w:hAnsi="Arial" w:cs="Arial"/>
          <w:i/>
          <w:sz w:val="24"/>
          <w:szCs w:val="24"/>
        </w:rPr>
        <w:t>.</w:t>
      </w:r>
      <w:r w:rsidRPr="00BE4C8F">
        <w:rPr>
          <w:rStyle w:val="FootnoteReference"/>
          <w:rFonts w:ascii="Arial" w:hAnsi="Arial" w:cs="Arial"/>
          <w:sz w:val="24"/>
          <w:szCs w:val="24"/>
        </w:rPr>
        <w:footnoteReference w:id="5"/>
      </w:r>
    </w:p>
    <w:p w:rsidR="00E30FAB" w:rsidRDefault="00E30FAB" w:rsidP="00292DF3">
      <w:pPr>
        <w:pStyle w:val="ListParagraph"/>
        <w:spacing w:line="480" w:lineRule="auto"/>
        <w:rPr>
          <w:rFonts w:ascii="Arial" w:hAnsi="Arial" w:cs="Arial"/>
          <w:sz w:val="24"/>
          <w:szCs w:val="24"/>
        </w:rPr>
      </w:pPr>
    </w:p>
    <w:p w:rsidR="00E30FAB" w:rsidRDefault="00055679" w:rsidP="00292DF3">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T</w:t>
      </w:r>
      <w:r w:rsidR="00E30FAB">
        <w:rPr>
          <w:rFonts w:ascii="Arial" w:hAnsi="Arial" w:cs="Arial"/>
          <w:sz w:val="24"/>
          <w:szCs w:val="24"/>
        </w:rPr>
        <w:t>he applicants sum up their case succinctly as follows: ‘The SC – opinion is indefensible</w:t>
      </w:r>
      <w:r w:rsidR="00E30FAB" w:rsidRPr="00366250">
        <w:rPr>
          <w:rFonts w:ascii="Arial" w:hAnsi="Arial" w:cs="Arial"/>
          <w:sz w:val="24"/>
          <w:szCs w:val="24"/>
        </w:rPr>
        <w:t xml:space="preserve"> on at least three foundational levels: Firstly, it abolishes the inalienable right of access to the court. Secondly, it is contrary to the accepted international law principle that the violation of dignity is not justifiable. Thirdly, the SC</w:t>
      </w:r>
      <w:r w:rsidR="00E30FAB">
        <w:rPr>
          <w:rFonts w:ascii="Arial" w:hAnsi="Arial" w:cs="Arial"/>
          <w:sz w:val="24"/>
          <w:szCs w:val="24"/>
        </w:rPr>
        <w:t xml:space="preserve"> – </w:t>
      </w:r>
      <w:r w:rsidR="00E30FAB" w:rsidRPr="00366250">
        <w:rPr>
          <w:rFonts w:ascii="Arial" w:hAnsi="Arial" w:cs="Arial"/>
          <w:sz w:val="24"/>
          <w:szCs w:val="24"/>
        </w:rPr>
        <w:t>opinion ignored the internationally</w:t>
      </w:r>
      <w:r w:rsidR="00E30FAB">
        <w:rPr>
          <w:rFonts w:ascii="Arial" w:hAnsi="Arial" w:cs="Arial"/>
          <w:sz w:val="24"/>
          <w:szCs w:val="24"/>
        </w:rPr>
        <w:t xml:space="preserve"> accepted</w:t>
      </w:r>
      <w:r w:rsidR="00E30FAB" w:rsidRPr="00366250">
        <w:rPr>
          <w:rFonts w:ascii="Arial" w:hAnsi="Arial" w:cs="Arial"/>
          <w:sz w:val="24"/>
          <w:szCs w:val="24"/>
        </w:rPr>
        <w:t xml:space="preserve"> legal principles of </w:t>
      </w:r>
      <w:proofErr w:type="spellStart"/>
      <w:r w:rsidR="00E30FAB" w:rsidRPr="00366250">
        <w:rPr>
          <w:rFonts w:ascii="Arial" w:hAnsi="Arial" w:cs="Arial"/>
          <w:i/>
          <w:sz w:val="24"/>
          <w:szCs w:val="24"/>
        </w:rPr>
        <w:t>nullum</w:t>
      </w:r>
      <w:proofErr w:type="spellEnd"/>
      <w:r w:rsidR="00E30FAB" w:rsidRPr="00366250">
        <w:rPr>
          <w:rFonts w:ascii="Arial" w:hAnsi="Arial" w:cs="Arial"/>
          <w:i/>
          <w:sz w:val="24"/>
          <w:szCs w:val="24"/>
        </w:rPr>
        <w:t xml:space="preserve"> </w:t>
      </w:r>
      <w:proofErr w:type="spellStart"/>
      <w:r w:rsidR="00E30FAB" w:rsidRPr="00366250">
        <w:rPr>
          <w:rFonts w:ascii="Arial" w:hAnsi="Arial" w:cs="Arial"/>
          <w:i/>
          <w:sz w:val="24"/>
          <w:szCs w:val="24"/>
        </w:rPr>
        <w:t>crimen</w:t>
      </w:r>
      <w:proofErr w:type="spellEnd"/>
      <w:r w:rsidR="00E30FAB" w:rsidRPr="00366250">
        <w:rPr>
          <w:rFonts w:ascii="Arial" w:hAnsi="Arial" w:cs="Arial"/>
          <w:i/>
          <w:sz w:val="24"/>
          <w:szCs w:val="24"/>
        </w:rPr>
        <w:t xml:space="preserve"> sine </w:t>
      </w:r>
      <w:proofErr w:type="spellStart"/>
      <w:r w:rsidR="00E30FAB" w:rsidRPr="00366250">
        <w:rPr>
          <w:rFonts w:ascii="Arial" w:hAnsi="Arial" w:cs="Arial"/>
          <w:i/>
          <w:sz w:val="24"/>
          <w:szCs w:val="24"/>
        </w:rPr>
        <w:t>lege</w:t>
      </w:r>
      <w:proofErr w:type="spellEnd"/>
      <w:r w:rsidR="00E30FAB" w:rsidRPr="00366250">
        <w:rPr>
          <w:rFonts w:ascii="Arial" w:hAnsi="Arial" w:cs="Arial"/>
          <w:sz w:val="24"/>
          <w:szCs w:val="24"/>
        </w:rPr>
        <w:t xml:space="preserve"> and </w:t>
      </w:r>
      <w:proofErr w:type="spellStart"/>
      <w:r w:rsidR="00E30FAB">
        <w:rPr>
          <w:rFonts w:ascii="Arial" w:hAnsi="Arial" w:cs="Arial"/>
          <w:i/>
          <w:sz w:val="24"/>
          <w:szCs w:val="24"/>
        </w:rPr>
        <w:t>le</w:t>
      </w:r>
      <w:r w:rsidR="00E30FAB" w:rsidRPr="00366250">
        <w:rPr>
          <w:rFonts w:ascii="Arial" w:hAnsi="Arial" w:cs="Arial"/>
          <w:i/>
          <w:sz w:val="24"/>
          <w:szCs w:val="24"/>
        </w:rPr>
        <w:t>x</w:t>
      </w:r>
      <w:proofErr w:type="spellEnd"/>
      <w:r w:rsidR="00E30FAB" w:rsidRPr="00366250">
        <w:rPr>
          <w:rFonts w:ascii="Arial" w:hAnsi="Arial" w:cs="Arial"/>
          <w:i/>
          <w:sz w:val="24"/>
          <w:szCs w:val="24"/>
        </w:rPr>
        <w:t xml:space="preserve"> non </w:t>
      </w:r>
      <w:proofErr w:type="spellStart"/>
      <w:r w:rsidR="00E30FAB" w:rsidRPr="00366250">
        <w:rPr>
          <w:rFonts w:ascii="Arial" w:hAnsi="Arial" w:cs="Arial"/>
          <w:i/>
          <w:sz w:val="24"/>
          <w:szCs w:val="24"/>
        </w:rPr>
        <w:t>cogit</w:t>
      </w:r>
      <w:proofErr w:type="spellEnd"/>
      <w:r w:rsidR="00E30FAB" w:rsidRPr="00366250">
        <w:rPr>
          <w:rFonts w:ascii="Arial" w:hAnsi="Arial" w:cs="Arial"/>
          <w:i/>
          <w:sz w:val="24"/>
          <w:szCs w:val="24"/>
        </w:rPr>
        <w:t xml:space="preserve"> (ad) </w:t>
      </w:r>
      <w:proofErr w:type="spellStart"/>
      <w:r w:rsidR="00E30FAB" w:rsidRPr="00366250">
        <w:rPr>
          <w:rFonts w:ascii="Arial" w:hAnsi="Arial" w:cs="Arial"/>
          <w:i/>
          <w:sz w:val="24"/>
          <w:szCs w:val="24"/>
        </w:rPr>
        <w:t>impossibilia</w:t>
      </w:r>
      <w:proofErr w:type="spellEnd"/>
      <w:r w:rsidR="00E30FAB" w:rsidRPr="003279F7">
        <w:rPr>
          <w:rFonts w:ascii="Arial" w:hAnsi="Arial" w:cs="Arial"/>
          <w:sz w:val="24"/>
          <w:szCs w:val="24"/>
        </w:rPr>
        <w:t xml:space="preserve"> </w:t>
      </w:r>
      <w:r w:rsidR="009D0A16">
        <w:rPr>
          <w:rFonts w:ascii="Arial" w:hAnsi="Arial" w:cs="Arial"/>
          <w:sz w:val="24"/>
          <w:szCs w:val="24"/>
        </w:rPr>
        <w:t>[</w:t>
      </w:r>
      <w:r w:rsidR="00E30FAB" w:rsidRPr="00366250">
        <w:rPr>
          <w:rFonts w:ascii="Arial" w:hAnsi="Arial" w:cs="Arial"/>
          <w:sz w:val="24"/>
          <w:szCs w:val="24"/>
        </w:rPr>
        <w:t>no crime without a law and the law d</w:t>
      </w:r>
      <w:r w:rsidR="009D0A16">
        <w:rPr>
          <w:rFonts w:ascii="Arial" w:hAnsi="Arial" w:cs="Arial"/>
          <w:sz w:val="24"/>
          <w:szCs w:val="24"/>
        </w:rPr>
        <w:t>oes not compel an impossibility]</w:t>
      </w:r>
      <w:r w:rsidR="00865D8C">
        <w:rPr>
          <w:rFonts w:ascii="Arial" w:hAnsi="Arial" w:cs="Arial"/>
          <w:sz w:val="24"/>
          <w:szCs w:val="24"/>
        </w:rPr>
        <w:t>’</w:t>
      </w:r>
      <w:r w:rsidR="00E30FAB">
        <w:rPr>
          <w:rFonts w:ascii="Arial" w:hAnsi="Arial" w:cs="Arial"/>
          <w:sz w:val="24"/>
          <w:szCs w:val="24"/>
        </w:rPr>
        <w:t>.</w:t>
      </w:r>
    </w:p>
    <w:p w:rsidR="00B5447B" w:rsidRDefault="00B5447B" w:rsidP="00292DF3">
      <w:pPr>
        <w:pStyle w:val="ListParagraph"/>
        <w:spacing w:line="480" w:lineRule="auto"/>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B5447B">
        <w:rPr>
          <w:rFonts w:ascii="Arial" w:hAnsi="Arial" w:cs="Arial"/>
          <w:sz w:val="24"/>
          <w:szCs w:val="24"/>
        </w:rPr>
        <w:t>It is necessary to spell out the sequence of events leading up to the judgment under attack to put the attack made in the present application in its context. The context appears from the judgment under attack in this matter (</w:t>
      </w:r>
      <w:proofErr w:type="spellStart"/>
      <w:r w:rsidRPr="00B5447B">
        <w:rPr>
          <w:rFonts w:ascii="Arial" w:hAnsi="Arial" w:cs="Arial"/>
          <w:i/>
          <w:sz w:val="24"/>
          <w:szCs w:val="24"/>
        </w:rPr>
        <w:t>Hellens</w:t>
      </w:r>
      <w:proofErr w:type="spellEnd"/>
      <w:r w:rsidRPr="00B5447B">
        <w:rPr>
          <w:rFonts w:ascii="Arial" w:hAnsi="Arial" w:cs="Arial"/>
          <w:sz w:val="24"/>
          <w:szCs w:val="24"/>
        </w:rPr>
        <w:t xml:space="preserve">) and from the judgment of this Court in </w:t>
      </w:r>
      <w:proofErr w:type="spellStart"/>
      <w:r w:rsidRPr="00B5447B">
        <w:rPr>
          <w:rFonts w:ascii="Arial" w:hAnsi="Arial" w:cs="Arial"/>
          <w:i/>
          <w:sz w:val="24"/>
          <w:szCs w:val="24"/>
        </w:rPr>
        <w:t>Joubert</w:t>
      </w:r>
      <w:proofErr w:type="spellEnd"/>
      <w:r w:rsidRPr="00B5447B">
        <w:rPr>
          <w:rFonts w:ascii="Arial" w:hAnsi="Arial" w:cs="Arial"/>
          <w:i/>
          <w:sz w:val="24"/>
          <w:szCs w:val="24"/>
        </w:rPr>
        <w:t xml:space="preserve"> &amp; others v State</w:t>
      </w:r>
      <w:r w:rsidRPr="0026109E">
        <w:rPr>
          <w:rStyle w:val="FootnoteReference"/>
          <w:rFonts w:ascii="Arial" w:hAnsi="Arial" w:cs="Arial"/>
        </w:rPr>
        <w:footnoteReference w:id="6"/>
      </w:r>
      <w:r w:rsidRPr="00B5447B">
        <w:rPr>
          <w:rFonts w:ascii="Arial" w:hAnsi="Arial" w:cs="Arial"/>
          <w:sz w:val="24"/>
          <w:szCs w:val="24"/>
        </w:rPr>
        <w:t xml:space="preserve"> (</w:t>
      </w:r>
      <w:proofErr w:type="spellStart"/>
      <w:r w:rsidRPr="00B5447B">
        <w:rPr>
          <w:rFonts w:ascii="Arial" w:hAnsi="Arial" w:cs="Arial"/>
          <w:i/>
          <w:sz w:val="24"/>
          <w:szCs w:val="24"/>
        </w:rPr>
        <w:t>Joubert</w:t>
      </w:r>
      <w:proofErr w:type="spellEnd"/>
      <w:r w:rsidRPr="00B5447B">
        <w:rPr>
          <w:rFonts w:ascii="Arial" w:hAnsi="Arial" w:cs="Arial"/>
          <w:sz w:val="24"/>
          <w:szCs w:val="24"/>
        </w:rPr>
        <w:t>).</w:t>
      </w:r>
    </w:p>
    <w:p w:rsidR="00B5447B" w:rsidRDefault="00B5447B" w:rsidP="00292DF3">
      <w:pPr>
        <w:pStyle w:val="ListParagraph"/>
        <w:spacing w:line="480" w:lineRule="auto"/>
        <w:rPr>
          <w:rFonts w:ascii="Arial" w:hAnsi="Arial" w:cs="Arial"/>
          <w:sz w:val="24"/>
          <w:szCs w:val="24"/>
        </w:rPr>
      </w:pPr>
    </w:p>
    <w:p w:rsidR="00B5447B" w:rsidRDefault="00E30FAB" w:rsidP="00371CAF">
      <w:pPr>
        <w:pStyle w:val="NoSpacing"/>
        <w:numPr>
          <w:ilvl w:val="0"/>
          <w:numId w:val="1"/>
        </w:numPr>
        <w:spacing w:line="480" w:lineRule="auto"/>
        <w:ind w:left="0" w:firstLine="0"/>
        <w:jc w:val="both"/>
        <w:rPr>
          <w:rFonts w:ascii="Arial" w:hAnsi="Arial" w:cs="Arial"/>
          <w:sz w:val="24"/>
          <w:szCs w:val="24"/>
        </w:rPr>
      </w:pPr>
      <w:r w:rsidRPr="00B5447B">
        <w:rPr>
          <w:rFonts w:ascii="Arial" w:hAnsi="Arial" w:cs="Arial"/>
          <w:sz w:val="24"/>
          <w:szCs w:val="24"/>
        </w:rPr>
        <w:t xml:space="preserve">The background to </w:t>
      </w:r>
      <w:proofErr w:type="spellStart"/>
      <w:r w:rsidRPr="00F0413B">
        <w:rPr>
          <w:rFonts w:ascii="Arial" w:hAnsi="Arial" w:cs="Arial"/>
          <w:i/>
          <w:sz w:val="24"/>
          <w:szCs w:val="24"/>
        </w:rPr>
        <w:t>Hellens</w:t>
      </w:r>
      <w:proofErr w:type="spellEnd"/>
      <w:r w:rsidRPr="00B5447B">
        <w:rPr>
          <w:rFonts w:ascii="Arial" w:hAnsi="Arial" w:cs="Arial"/>
          <w:sz w:val="24"/>
          <w:szCs w:val="24"/>
        </w:rPr>
        <w:t xml:space="preserve"> and </w:t>
      </w:r>
      <w:proofErr w:type="spellStart"/>
      <w:r w:rsidRPr="00F0413B">
        <w:rPr>
          <w:rFonts w:ascii="Arial" w:hAnsi="Arial" w:cs="Arial"/>
          <w:i/>
          <w:sz w:val="24"/>
          <w:szCs w:val="24"/>
        </w:rPr>
        <w:t>Joubert</w:t>
      </w:r>
      <w:proofErr w:type="spellEnd"/>
      <w:r w:rsidRPr="00B5447B">
        <w:rPr>
          <w:rFonts w:ascii="Arial" w:hAnsi="Arial" w:cs="Arial"/>
          <w:sz w:val="24"/>
          <w:szCs w:val="24"/>
        </w:rPr>
        <w:t xml:space="preserve"> is as follows: Messrs </w:t>
      </w:r>
      <w:proofErr w:type="spellStart"/>
      <w:r w:rsidRPr="00B5447B">
        <w:rPr>
          <w:rFonts w:ascii="Arial" w:hAnsi="Arial" w:cs="Arial"/>
          <w:sz w:val="24"/>
          <w:szCs w:val="24"/>
        </w:rPr>
        <w:t>Hellens</w:t>
      </w:r>
      <w:proofErr w:type="spellEnd"/>
      <w:r w:rsidRPr="00B5447B">
        <w:rPr>
          <w:rFonts w:ascii="Arial" w:hAnsi="Arial" w:cs="Arial"/>
          <w:sz w:val="24"/>
          <w:szCs w:val="24"/>
        </w:rPr>
        <w:t xml:space="preserve"> and </w:t>
      </w:r>
      <w:proofErr w:type="spellStart"/>
      <w:r w:rsidRPr="00B5447B">
        <w:rPr>
          <w:rFonts w:ascii="Arial" w:hAnsi="Arial" w:cs="Arial"/>
          <w:sz w:val="24"/>
          <w:szCs w:val="24"/>
        </w:rPr>
        <w:t>Joubert</w:t>
      </w:r>
      <w:proofErr w:type="spellEnd"/>
      <w:r w:rsidRPr="00B5447B">
        <w:rPr>
          <w:rFonts w:ascii="Arial" w:hAnsi="Arial" w:cs="Arial"/>
          <w:sz w:val="24"/>
          <w:szCs w:val="24"/>
        </w:rPr>
        <w:t xml:space="preserve"> are senior advocates practicing as such in South Africa. They were briefed to come to represent a number of individuals in a bail application in the </w:t>
      </w:r>
      <w:r w:rsidR="00532DBD" w:rsidRPr="00B5447B">
        <w:rPr>
          <w:rFonts w:ascii="Arial" w:hAnsi="Arial" w:cs="Arial"/>
          <w:sz w:val="24"/>
          <w:szCs w:val="24"/>
        </w:rPr>
        <w:t>magistrate</w:t>
      </w:r>
      <w:r w:rsidR="00055679">
        <w:rPr>
          <w:rFonts w:ascii="Arial" w:hAnsi="Arial" w:cs="Arial"/>
          <w:sz w:val="24"/>
          <w:szCs w:val="24"/>
        </w:rPr>
        <w:t>’</w:t>
      </w:r>
      <w:r w:rsidR="00532DBD" w:rsidRPr="00B5447B">
        <w:rPr>
          <w:rFonts w:ascii="Arial" w:hAnsi="Arial" w:cs="Arial"/>
          <w:sz w:val="24"/>
          <w:szCs w:val="24"/>
        </w:rPr>
        <w:t xml:space="preserve">s court </w:t>
      </w:r>
      <w:r w:rsidRPr="00B5447B">
        <w:rPr>
          <w:rFonts w:ascii="Arial" w:hAnsi="Arial" w:cs="Arial"/>
          <w:sz w:val="24"/>
          <w:szCs w:val="24"/>
        </w:rPr>
        <w:t xml:space="preserve">in Windhoek. As foreign </w:t>
      </w:r>
      <w:r w:rsidR="003279F7">
        <w:rPr>
          <w:rFonts w:ascii="Arial" w:hAnsi="Arial" w:cs="Arial"/>
          <w:sz w:val="24"/>
          <w:szCs w:val="24"/>
        </w:rPr>
        <w:t xml:space="preserve">non-resident </w:t>
      </w:r>
      <w:r w:rsidRPr="00B5447B">
        <w:rPr>
          <w:rFonts w:ascii="Arial" w:hAnsi="Arial" w:cs="Arial"/>
          <w:sz w:val="24"/>
          <w:szCs w:val="24"/>
        </w:rPr>
        <w:t xml:space="preserve">lawyers can only practice in Namibian Courts with leave </w:t>
      </w:r>
      <w:r w:rsidR="00055679">
        <w:rPr>
          <w:rFonts w:ascii="Arial" w:hAnsi="Arial" w:cs="Arial"/>
          <w:sz w:val="24"/>
          <w:szCs w:val="24"/>
        </w:rPr>
        <w:t>of</w:t>
      </w:r>
      <w:r w:rsidRPr="00B5447B">
        <w:rPr>
          <w:rFonts w:ascii="Arial" w:hAnsi="Arial" w:cs="Arial"/>
          <w:sz w:val="24"/>
          <w:szCs w:val="24"/>
        </w:rPr>
        <w:t xml:space="preserve"> the Chief Justice pursuant to s 85(2) of the Legal Practitioners Act 15 of </w:t>
      </w:r>
      <w:r w:rsidRPr="00B5447B">
        <w:rPr>
          <w:rFonts w:ascii="Arial" w:hAnsi="Arial" w:cs="Arial"/>
          <w:sz w:val="24"/>
          <w:szCs w:val="24"/>
        </w:rPr>
        <w:lastRenderedPageBreak/>
        <w:t>1995</w:t>
      </w:r>
      <w:r w:rsidR="003279F7">
        <w:rPr>
          <w:rFonts w:ascii="Arial" w:hAnsi="Arial" w:cs="Arial"/>
          <w:sz w:val="24"/>
          <w:szCs w:val="24"/>
        </w:rPr>
        <w:t>,</w:t>
      </w:r>
      <w:r w:rsidR="00677AE7">
        <w:rPr>
          <w:rFonts w:ascii="Arial" w:hAnsi="Arial" w:cs="Arial"/>
          <w:sz w:val="24"/>
          <w:szCs w:val="24"/>
        </w:rPr>
        <w:t xml:space="preserve"> t</w:t>
      </w:r>
      <w:r w:rsidRPr="00B5447B">
        <w:rPr>
          <w:rFonts w:ascii="Arial" w:hAnsi="Arial" w:cs="Arial"/>
          <w:sz w:val="24"/>
          <w:szCs w:val="24"/>
        </w:rPr>
        <w:t xml:space="preserve">hey </w:t>
      </w:r>
      <w:r w:rsidR="00055679">
        <w:rPr>
          <w:rFonts w:ascii="Arial" w:hAnsi="Arial" w:cs="Arial"/>
          <w:sz w:val="24"/>
          <w:szCs w:val="24"/>
        </w:rPr>
        <w:t>applied</w:t>
      </w:r>
      <w:r w:rsidRPr="00B5447B">
        <w:rPr>
          <w:rFonts w:ascii="Arial" w:hAnsi="Arial" w:cs="Arial"/>
          <w:sz w:val="24"/>
          <w:szCs w:val="24"/>
        </w:rPr>
        <w:t xml:space="preserve"> for such certificates which </w:t>
      </w:r>
      <w:r w:rsidR="00BE4C8F">
        <w:rPr>
          <w:rFonts w:ascii="Arial" w:hAnsi="Arial" w:cs="Arial"/>
          <w:sz w:val="24"/>
          <w:szCs w:val="24"/>
        </w:rPr>
        <w:t>were</w:t>
      </w:r>
      <w:r w:rsidRPr="00B5447B">
        <w:rPr>
          <w:rFonts w:ascii="Arial" w:hAnsi="Arial" w:cs="Arial"/>
          <w:sz w:val="24"/>
          <w:szCs w:val="24"/>
        </w:rPr>
        <w:t xml:space="preserve"> granted to them by the Chief Justice.</w:t>
      </w:r>
    </w:p>
    <w:p w:rsidR="006C14F1" w:rsidRPr="00371CAF" w:rsidRDefault="006C14F1" w:rsidP="006C14F1">
      <w:pPr>
        <w:pStyle w:val="NoSpacing"/>
        <w:spacing w:line="480" w:lineRule="auto"/>
        <w:jc w:val="both"/>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B5447B">
        <w:rPr>
          <w:rFonts w:ascii="Arial" w:hAnsi="Arial" w:cs="Arial"/>
          <w:sz w:val="24"/>
          <w:szCs w:val="24"/>
        </w:rPr>
        <w:t xml:space="preserve">On arrival in Namibia at Hosea </w:t>
      </w:r>
      <w:proofErr w:type="spellStart"/>
      <w:r w:rsidRPr="00B5447B">
        <w:rPr>
          <w:rFonts w:ascii="Arial" w:hAnsi="Arial" w:cs="Arial"/>
          <w:sz w:val="24"/>
          <w:szCs w:val="24"/>
        </w:rPr>
        <w:t>Kutako</w:t>
      </w:r>
      <w:proofErr w:type="spellEnd"/>
      <w:r w:rsidRPr="00B5447B">
        <w:rPr>
          <w:rFonts w:ascii="Arial" w:hAnsi="Arial" w:cs="Arial"/>
          <w:sz w:val="24"/>
          <w:szCs w:val="24"/>
        </w:rPr>
        <w:t xml:space="preserve"> International Airport they, in the immigration forms, applied for entry into Namibia for the purpose of a ‘visit’ and a ‘meeting’ respectively and were granted visitors</w:t>
      </w:r>
      <w:r w:rsidR="00055679">
        <w:rPr>
          <w:rFonts w:ascii="Arial" w:hAnsi="Arial" w:cs="Arial"/>
          <w:sz w:val="24"/>
          <w:szCs w:val="24"/>
        </w:rPr>
        <w:t>’</w:t>
      </w:r>
      <w:r w:rsidRPr="00B5447B">
        <w:rPr>
          <w:rFonts w:ascii="Arial" w:hAnsi="Arial" w:cs="Arial"/>
          <w:sz w:val="24"/>
          <w:szCs w:val="24"/>
        </w:rPr>
        <w:t xml:space="preserve"> permits. Their true purpose, </w:t>
      </w:r>
      <w:proofErr w:type="spellStart"/>
      <w:r w:rsidRPr="00B5447B">
        <w:rPr>
          <w:rFonts w:ascii="Arial" w:hAnsi="Arial" w:cs="Arial"/>
          <w:sz w:val="24"/>
          <w:szCs w:val="24"/>
        </w:rPr>
        <w:t>ie</w:t>
      </w:r>
      <w:proofErr w:type="spellEnd"/>
      <w:r w:rsidRPr="00B5447B">
        <w:rPr>
          <w:rFonts w:ascii="Arial" w:hAnsi="Arial" w:cs="Arial"/>
          <w:sz w:val="24"/>
          <w:szCs w:val="24"/>
        </w:rPr>
        <w:t xml:space="preserve"> to represent clients in court in a bail application was not disclosed to the immigration authorities. They consulted their clients and when they attended the court the next day to represent their clients whose bail application was to commence they were arrested by an immigration officer for allegedly violating the provisions of the ICA. The charges they faced were rendering the services of legal practitioners without employment permits and furnishing false and misleading information to the immigration officer to obtain visitors’ permits.</w:t>
      </w:r>
    </w:p>
    <w:p w:rsidR="00B5447B" w:rsidRDefault="00B5447B" w:rsidP="00584C01">
      <w:pPr>
        <w:pStyle w:val="ListParagraph"/>
        <w:spacing w:after="0" w:line="480" w:lineRule="auto"/>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B5447B">
        <w:rPr>
          <w:rFonts w:ascii="Arial" w:hAnsi="Arial" w:cs="Arial"/>
          <w:sz w:val="24"/>
          <w:szCs w:val="24"/>
        </w:rPr>
        <w:t xml:space="preserve">The applicants appeared in court the Friday morning of their arrest, and, at that time they were represented by an </w:t>
      </w:r>
      <w:proofErr w:type="spellStart"/>
      <w:r w:rsidRPr="00B5447B">
        <w:rPr>
          <w:rFonts w:ascii="Arial" w:hAnsi="Arial" w:cs="Arial"/>
          <w:sz w:val="24"/>
          <w:szCs w:val="24"/>
        </w:rPr>
        <w:t>in</w:t>
      </w:r>
      <w:r w:rsidR="00055679">
        <w:rPr>
          <w:rFonts w:ascii="Arial" w:hAnsi="Arial" w:cs="Arial"/>
          <w:sz w:val="24"/>
          <w:szCs w:val="24"/>
        </w:rPr>
        <w:t>s</w:t>
      </w:r>
      <w:r w:rsidRPr="00B5447B">
        <w:rPr>
          <w:rFonts w:ascii="Arial" w:hAnsi="Arial" w:cs="Arial"/>
          <w:sz w:val="24"/>
          <w:szCs w:val="24"/>
        </w:rPr>
        <w:t>trusting</w:t>
      </w:r>
      <w:proofErr w:type="spellEnd"/>
      <w:r w:rsidRPr="00B5447B">
        <w:rPr>
          <w:rFonts w:ascii="Arial" w:hAnsi="Arial" w:cs="Arial"/>
          <w:sz w:val="24"/>
          <w:szCs w:val="24"/>
        </w:rPr>
        <w:t xml:space="preserve"> legal practitioner and two instructed legal practitioners (senior and junior counsel). Through their senior counsel, they informed the court that they will plead guilty to the two counts pressed against them. They thus pleaded guilty and after questioning each one of them pursuant to s 112 (1</w:t>
      </w:r>
      <w:proofErr w:type="gramStart"/>
      <w:r w:rsidRPr="00B5447B">
        <w:rPr>
          <w:rFonts w:ascii="Arial" w:hAnsi="Arial" w:cs="Arial"/>
          <w:sz w:val="24"/>
          <w:szCs w:val="24"/>
        </w:rPr>
        <w:t>)</w:t>
      </w:r>
      <w:r w:rsidRPr="00B5447B">
        <w:rPr>
          <w:rFonts w:ascii="Arial" w:hAnsi="Arial" w:cs="Arial"/>
          <w:i/>
          <w:sz w:val="24"/>
          <w:szCs w:val="24"/>
        </w:rPr>
        <w:t>(</w:t>
      </w:r>
      <w:proofErr w:type="gramEnd"/>
      <w:r w:rsidRPr="00B5447B">
        <w:rPr>
          <w:rFonts w:ascii="Arial" w:hAnsi="Arial" w:cs="Arial"/>
          <w:i/>
          <w:sz w:val="24"/>
          <w:szCs w:val="24"/>
        </w:rPr>
        <w:t>b)</w:t>
      </w:r>
      <w:r w:rsidRPr="00B5447B">
        <w:rPr>
          <w:rFonts w:ascii="Arial" w:hAnsi="Arial" w:cs="Arial"/>
          <w:sz w:val="24"/>
          <w:szCs w:val="24"/>
        </w:rPr>
        <w:t xml:space="preserve"> of the Criminal Procedure Act 51 of 1977, they were convicted in terms of their respective pleas and sentenced to fines, alternatively, imprisonment. They paid their fines and left the country the next day.</w:t>
      </w:r>
    </w:p>
    <w:p w:rsidR="00A87E2B" w:rsidRDefault="00A87E2B" w:rsidP="00584C01">
      <w:pPr>
        <w:pStyle w:val="ListParagraph"/>
        <w:spacing w:after="0" w:line="480" w:lineRule="auto"/>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A87E2B">
        <w:rPr>
          <w:rFonts w:ascii="Arial" w:hAnsi="Arial" w:cs="Arial"/>
          <w:sz w:val="24"/>
          <w:szCs w:val="24"/>
        </w:rPr>
        <w:t xml:space="preserve">The conviction took place on 29 November 2019. On 13 December 2019, a notice of appeal was filed against the conviction. Two grounds of appeal were raised. Firstly, that s 29(5) of the ICA did not prevent them from appearing on an </w:t>
      </w:r>
      <w:r w:rsidRPr="00A87E2B">
        <w:rPr>
          <w:rFonts w:ascii="Arial" w:hAnsi="Arial" w:cs="Arial"/>
          <w:i/>
          <w:sz w:val="24"/>
          <w:szCs w:val="24"/>
        </w:rPr>
        <w:t>ad hoc</w:t>
      </w:r>
      <w:r w:rsidRPr="00A87E2B">
        <w:rPr>
          <w:rFonts w:ascii="Arial" w:hAnsi="Arial" w:cs="Arial"/>
          <w:sz w:val="24"/>
          <w:szCs w:val="24"/>
        </w:rPr>
        <w:t xml:space="preserve"> basis </w:t>
      </w:r>
      <w:r w:rsidRPr="00A87E2B">
        <w:rPr>
          <w:rFonts w:ascii="Arial" w:hAnsi="Arial" w:cs="Arial"/>
          <w:sz w:val="24"/>
          <w:szCs w:val="24"/>
        </w:rPr>
        <w:lastRenderedPageBreak/>
        <w:t>for clients in Namibia and what this section envisaged was targeting persons who were carrying out a profession without a work permit. They thus did not need a work permit as they were not carrying out their professions in N</w:t>
      </w:r>
      <w:r w:rsidR="003279F7">
        <w:rPr>
          <w:rFonts w:ascii="Arial" w:hAnsi="Arial" w:cs="Arial"/>
          <w:sz w:val="24"/>
          <w:szCs w:val="24"/>
        </w:rPr>
        <w:t xml:space="preserve">amibia. Secondly, as they had </w:t>
      </w:r>
      <w:r w:rsidRPr="00A87E2B">
        <w:rPr>
          <w:rFonts w:ascii="Arial" w:hAnsi="Arial" w:cs="Arial"/>
          <w:sz w:val="24"/>
          <w:szCs w:val="24"/>
        </w:rPr>
        <w:t>certificate</w:t>
      </w:r>
      <w:r w:rsidR="00055679">
        <w:rPr>
          <w:rFonts w:ascii="Arial" w:hAnsi="Arial" w:cs="Arial"/>
          <w:sz w:val="24"/>
          <w:szCs w:val="24"/>
        </w:rPr>
        <w:t>s</w:t>
      </w:r>
      <w:r w:rsidRPr="00A87E2B">
        <w:rPr>
          <w:rFonts w:ascii="Arial" w:hAnsi="Arial" w:cs="Arial"/>
          <w:sz w:val="24"/>
          <w:szCs w:val="24"/>
        </w:rPr>
        <w:t xml:space="preserve"> issued to </w:t>
      </w:r>
      <w:proofErr w:type="gramStart"/>
      <w:r w:rsidRPr="00A87E2B">
        <w:rPr>
          <w:rFonts w:ascii="Arial" w:hAnsi="Arial" w:cs="Arial"/>
          <w:sz w:val="24"/>
          <w:szCs w:val="24"/>
        </w:rPr>
        <w:t>them</w:t>
      </w:r>
      <w:proofErr w:type="gramEnd"/>
      <w:r w:rsidRPr="00A87E2B">
        <w:rPr>
          <w:rFonts w:ascii="Arial" w:hAnsi="Arial" w:cs="Arial"/>
          <w:sz w:val="24"/>
          <w:szCs w:val="24"/>
        </w:rPr>
        <w:t xml:space="preserve"> by the Chief Justice pursuant to s 85(2) of the Legal Practitioners Act</w:t>
      </w:r>
      <w:r w:rsidR="002B6F24">
        <w:rPr>
          <w:rFonts w:ascii="Arial" w:hAnsi="Arial" w:cs="Arial"/>
          <w:sz w:val="24"/>
          <w:szCs w:val="24"/>
        </w:rPr>
        <w:t xml:space="preserve"> 15 of 1995</w:t>
      </w:r>
      <w:r w:rsidRPr="00A87E2B">
        <w:rPr>
          <w:rFonts w:ascii="Arial" w:hAnsi="Arial" w:cs="Arial"/>
          <w:sz w:val="24"/>
          <w:szCs w:val="24"/>
        </w:rPr>
        <w:t>, those certificates allowed them to represent their clients in Namibia without the need for work permits.</w:t>
      </w:r>
    </w:p>
    <w:p w:rsidR="00A87E2B" w:rsidRDefault="00A87E2B" w:rsidP="00584C01">
      <w:pPr>
        <w:pStyle w:val="ListParagraph"/>
        <w:spacing w:after="0" w:line="480" w:lineRule="auto"/>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A87E2B">
        <w:rPr>
          <w:rFonts w:ascii="Arial" w:hAnsi="Arial" w:cs="Arial"/>
          <w:sz w:val="24"/>
          <w:szCs w:val="24"/>
        </w:rPr>
        <w:t>On either 5 March 2020 or 5 May 2020,</w:t>
      </w:r>
      <w:r>
        <w:rPr>
          <w:rStyle w:val="FootnoteReference"/>
          <w:rFonts w:ascii="Arial" w:hAnsi="Arial" w:cs="Arial"/>
        </w:rPr>
        <w:footnoteReference w:id="7"/>
      </w:r>
      <w:r w:rsidRPr="00A87E2B">
        <w:rPr>
          <w:rFonts w:ascii="Arial" w:hAnsi="Arial" w:cs="Arial"/>
          <w:sz w:val="24"/>
          <w:szCs w:val="24"/>
        </w:rPr>
        <w:t xml:space="preserve"> while their appeal was still pending, the applicants filed a review application, namely the application that ended up in this Court, and the result whereof, is the subject matter of attack in this application. The review application was based on ‘irregularities in the proceedings’ which is the phrase used in s 20(1</w:t>
      </w:r>
      <w:proofErr w:type="gramStart"/>
      <w:r w:rsidRPr="00A87E2B">
        <w:rPr>
          <w:rFonts w:ascii="Arial" w:hAnsi="Arial" w:cs="Arial"/>
          <w:sz w:val="24"/>
          <w:szCs w:val="24"/>
        </w:rPr>
        <w:t>)</w:t>
      </w:r>
      <w:r w:rsidRPr="00A87E2B">
        <w:rPr>
          <w:rFonts w:ascii="Arial" w:hAnsi="Arial" w:cs="Arial"/>
          <w:i/>
          <w:sz w:val="24"/>
          <w:szCs w:val="24"/>
        </w:rPr>
        <w:t>(</w:t>
      </w:r>
      <w:proofErr w:type="gramEnd"/>
      <w:r w:rsidRPr="00A87E2B">
        <w:rPr>
          <w:rFonts w:ascii="Arial" w:hAnsi="Arial" w:cs="Arial"/>
          <w:i/>
          <w:sz w:val="24"/>
          <w:szCs w:val="24"/>
        </w:rPr>
        <w:t>c)</w:t>
      </w:r>
      <w:r w:rsidRPr="00A87E2B">
        <w:rPr>
          <w:rFonts w:ascii="Arial" w:hAnsi="Arial" w:cs="Arial"/>
          <w:sz w:val="24"/>
          <w:szCs w:val="24"/>
        </w:rPr>
        <w:t xml:space="preserve"> of the High Court Act 16 of 1990. In the review application, the applicants stated that they were unaware of the requirement that they needed work permits as the</w:t>
      </w:r>
      <w:r w:rsidR="00D33326">
        <w:rPr>
          <w:rFonts w:ascii="Arial" w:hAnsi="Arial" w:cs="Arial"/>
          <w:sz w:val="24"/>
          <w:szCs w:val="24"/>
        </w:rPr>
        <w:t>ir</w:t>
      </w:r>
      <w:r w:rsidRPr="00A87E2B">
        <w:rPr>
          <w:rFonts w:ascii="Arial" w:hAnsi="Arial" w:cs="Arial"/>
          <w:sz w:val="24"/>
          <w:szCs w:val="24"/>
        </w:rPr>
        <w:t xml:space="preserve"> instructing legal practitioner only informed them of the require</w:t>
      </w:r>
      <w:r w:rsidR="00735C3B">
        <w:rPr>
          <w:rFonts w:ascii="Arial" w:hAnsi="Arial" w:cs="Arial"/>
          <w:sz w:val="24"/>
          <w:szCs w:val="24"/>
        </w:rPr>
        <w:t>ment in the Legal Practitioners</w:t>
      </w:r>
      <w:r w:rsidRPr="00A87E2B">
        <w:rPr>
          <w:rFonts w:ascii="Arial" w:hAnsi="Arial" w:cs="Arial"/>
          <w:sz w:val="24"/>
          <w:szCs w:val="24"/>
        </w:rPr>
        <w:t xml:space="preserve"> Act which they complied with. After their arrest, they were informed that the prosecutor will oppose bail and they were thus from the time of their arrest kept in holding cells. Their senior counsel informed them at about 16h05 that Friday afternoon that bail would be opposed, what the charges were and shortly before the court commenced they were furnished with a written charge sheet. They stated that they considered themselves under duress and had no choice but to plead guilty out of necessity and to secure their liberty so as to escape unlawful custody. It is further alleged that their incarceration and the manner of transport to and from their holding cells amounted to inhumane and degrading abuse of power, violating their freedom and dignity. One of the specific irregularities mentioned was that the immigration </w:t>
      </w:r>
      <w:r w:rsidRPr="00A87E2B">
        <w:rPr>
          <w:rFonts w:ascii="Arial" w:hAnsi="Arial" w:cs="Arial"/>
          <w:sz w:val="24"/>
          <w:szCs w:val="24"/>
        </w:rPr>
        <w:lastRenderedPageBreak/>
        <w:t>officer who arrested them had no such powers and this, in itself according to the applicants, was a vitiating irregularity in their trial and it meant that the court lacked jurisdiction to hear the case against them.</w:t>
      </w:r>
    </w:p>
    <w:p w:rsidR="00A87E2B" w:rsidRDefault="00A87E2B" w:rsidP="00292DF3">
      <w:pPr>
        <w:pStyle w:val="NoSpacing"/>
        <w:spacing w:line="480" w:lineRule="auto"/>
        <w:jc w:val="both"/>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A87E2B">
        <w:rPr>
          <w:rFonts w:ascii="Arial" w:hAnsi="Arial" w:cs="Arial"/>
          <w:sz w:val="24"/>
          <w:szCs w:val="24"/>
        </w:rPr>
        <w:t>On 4 September 2020, the High Court, sitting as a court of appeal from the magistrate’s court, dismissed the appeal noted on 13 December 2020 against their convictions and sentences. The High Court found that their conduct fell within the ambit of s 25(5) of the ICA. This disposed of the first ground of appeal raised by the appellants in the appeal. As far as the second ground of appeal was concerned (</w:t>
      </w:r>
      <w:proofErr w:type="spellStart"/>
      <w:r w:rsidRPr="00A87E2B">
        <w:rPr>
          <w:rFonts w:ascii="Arial" w:hAnsi="Arial" w:cs="Arial"/>
          <w:sz w:val="24"/>
          <w:szCs w:val="24"/>
        </w:rPr>
        <w:t>ie</w:t>
      </w:r>
      <w:proofErr w:type="spellEnd"/>
      <w:r w:rsidRPr="00A87E2B">
        <w:rPr>
          <w:rFonts w:ascii="Arial" w:hAnsi="Arial" w:cs="Arial"/>
          <w:sz w:val="24"/>
          <w:szCs w:val="24"/>
        </w:rPr>
        <w:t xml:space="preserve"> the certificates to appear from the Chief Justice), the High Court found </w:t>
      </w:r>
      <w:r w:rsidR="00BE4C8F">
        <w:rPr>
          <w:rFonts w:ascii="Arial" w:hAnsi="Arial" w:cs="Arial"/>
          <w:sz w:val="24"/>
          <w:szCs w:val="24"/>
        </w:rPr>
        <w:t xml:space="preserve">that </w:t>
      </w:r>
      <w:r w:rsidRPr="00A87E2B">
        <w:rPr>
          <w:rFonts w:ascii="Arial" w:hAnsi="Arial" w:cs="Arial"/>
          <w:sz w:val="24"/>
          <w:szCs w:val="24"/>
        </w:rPr>
        <w:t xml:space="preserve">as the record was silent in this regard, it sitting as a court of appeal could </w:t>
      </w:r>
      <w:r w:rsidR="00922D57">
        <w:rPr>
          <w:rFonts w:ascii="Arial" w:hAnsi="Arial" w:cs="Arial"/>
          <w:sz w:val="24"/>
          <w:szCs w:val="24"/>
        </w:rPr>
        <w:t xml:space="preserve">not </w:t>
      </w:r>
      <w:r w:rsidRPr="00A87E2B">
        <w:rPr>
          <w:rFonts w:ascii="Arial" w:hAnsi="Arial" w:cs="Arial"/>
          <w:sz w:val="24"/>
          <w:szCs w:val="24"/>
        </w:rPr>
        <w:t xml:space="preserve">go beyond the record and hence dismissed this ground of appeal as well. The appeal was thus dismissed on 4 September 2020. Leave to appeal the judgment of the High Court to this </w:t>
      </w:r>
      <w:r w:rsidR="00BE4C8F">
        <w:rPr>
          <w:rFonts w:ascii="Arial" w:hAnsi="Arial" w:cs="Arial"/>
          <w:sz w:val="24"/>
          <w:szCs w:val="24"/>
        </w:rPr>
        <w:t>C</w:t>
      </w:r>
      <w:r w:rsidRPr="00A87E2B">
        <w:rPr>
          <w:rFonts w:ascii="Arial" w:hAnsi="Arial" w:cs="Arial"/>
          <w:sz w:val="24"/>
          <w:szCs w:val="24"/>
        </w:rPr>
        <w:t>ourt was applied for and such leave was granted on 21 May 2021. The leave was limited to the question whether the applicants’ presence in Namibia to represent their clients in a once off bail application amount</w:t>
      </w:r>
      <w:r w:rsidR="00BB55B2">
        <w:rPr>
          <w:rFonts w:ascii="Arial" w:hAnsi="Arial" w:cs="Arial"/>
          <w:sz w:val="24"/>
          <w:szCs w:val="24"/>
        </w:rPr>
        <w:t>ed</w:t>
      </w:r>
      <w:r w:rsidRPr="00A87E2B">
        <w:rPr>
          <w:rFonts w:ascii="Arial" w:hAnsi="Arial" w:cs="Arial"/>
          <w:sz w:val="24"/>
          <w:szCs w:val="24"/>
        </w:rPr>
        <w:t xml:space="preserve"> to the</w:t>
      </w:r>
      <w:r w:rsidR="009F4AC7">
        <w:rPr>
          <w:rFonts w:ascii="Arial" w:hAnsi="Arial" w:cs="Arial"/>
          <w:sz w:val="24"/>
          <w:szCs w:val="24"/>
        </w:rPr>
        <w:t>m</w:t>
      </w:r>
      <w:r w:rsidRPr="00A87E2B">
        <w:rPr>
          <w:rFonts w:ascii="Arial" w:hAnsi="Arial" w:cs="Arial"/>
          <w:sz w:val="24"/>
          <w:szCs w:val="24"/>
        </w:rPr>
        <w:t xml:space="preserve"> ‘practicing or carrying on any profession’ in this country.</w:t>
      </w:r>
    </w:p>
    <w:p w:rsidR="00A87E2B" w:rsidRDefault="00A87E2B" w:rsidP="00584C01">
      <w:pPr>
        <w:pStyle w:val="ListParagraph"/>
        <w:spacing w:after="0" w:line="480" w:lineRule="auto"/>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A87E2B">
        <w:rPr>
          <w:rFonts w:ascii="Arial" w:hAnsi="Arial" w:cs="Arial"/>
          <w:sz w:val="24"/>
          <w:szCs w:val="24"/>
        </w:rPr>
        <w:t>About nine months after the appeal was dismissed and on 23 June 2021, the review application lodged by the applicants succeeded and their convictions and sentences were set aside by the High Court. This led to an appeal by the government</w:t>
      </w:r>
      <w:r w:rsidR="00823105">
        <w:rPr>
          <w:rFonts w:ascii="Arial" w:hAnsi="Arial" w:cs="Arial"/>
          <w:sz w:val="24"/>
          <w:szCs w:val="24"/>
        </w:rPr>
        <w:t>al</w:t>
      </w:r>
      <w:r w:rsidRPr="00A87E2B">
        <w:rPr>
          <w:rFonts w:ascii="Arial" w:hAnsi="Arial" w:cs="Arial"/>
          <w:sz w:val="24"/>
          <w:szCs w:val="24"/>
        </w:rPr>
        <w:t xml:space="preserve"> parties who are cited as appellants in the </w:t>
      </w:r>
      <w:proofErr w:type="spellStart"/>
      <w:r w:rsidRPr="00A87E2B">
        <w:rPr>
          <w:rFonts w:ascii="Arial" w:hAnsi="Arial" w:cs="Arial"/>
          <w:i/>
          <w:sz w:val="24"/>
          <w:szCs w:val="24"/>
        </w:rPr>
        <w:t>Hellens</w:t>
      </w:r>
      <w:proofErr w:type="spellEnd"/>
      <w:r w:rsidRPr="00A87E2B">
        <w:rPr>
          <w:rFonts w:ascii="Arial" w:hAnsi="Arial" w:cs="Arial"/>
          <w:sz w:val="24"/>
          <w:szCs w:val="24"/>
        </w:rPr>
        <w:t xml:space="preserve"> </w:t>
      </w:r>
      <w:r w:rsidR="00922D57">
        <w:rPr>
          <w:rFonts w:ascii="Arial" w:hAnsi="Arial" w:cs="Arial"/>
          <w:sz w:val="24"/>
          <w:szCs w:val="24"/>
        </w:rPr>
        <w:t xml:space="preserve">judgment </w:t>
      </w:r>
      <w:r w:rsidR="00BE4C8F">
        <w:rPr>
          <w:rFonts w:ascii="Arial" w:hAnsi="Arial" w:cs="Arial"/>
          <w:sz w:val="24"/>
          <w:szCs w:val="24"/>
        </w:rPr>
        <w:t>of</w:t>
      </w:r>
      <w:r w:rsidRPr="00A87E2B">
        <w:rPr>
          <w:rFonts w:ascii="Arial" w:hAnsi="Arial" w:cs="Arial"/>
          <w:sz w:val="24"/>
          <w:szCs w:val="24"/>
        </w:rPr>
        <w:t xml:space="preserve"> this Court.</w:t>
      </w:r>
    </w:p>
    <w:p w:rsidR="00A87E2B" w:rsidRDefault="00A87E2B" w:rsidP="00584C01">
      <w:pPr>
        <w:pStyle w:val="ListParagraph"/>
        <w:spacing w:after="0" w:line="480" w:lineRule="auto"/>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A87E2B">
        <w:rPr>
          <w:rFonts w:ascii="Arial" w:hAnsi="Arial" w:cs="Arial"/>
          <w:sz w:val="24"/>
          <w:szCs w:val="24"/>
        </w:rPr>
        <w:t xml:space="preserve">The appeal </w:t>
      </w:r>
      <w:r w:rsidR="00BE4C8F">
        <w:rPr>
          <w:rFonts w:ascii="Arial" w:hAnsi="Arial" w:cs="Arial"/>
          <w:sz w:val="24"/>
          <w:szCs w:val="24"/>
        </w:rPr>
        <w:t>by</w:t>
      </w:r>
      <w:r w:rsidRPr="00A87E2B">
        <w:rPr>
          <w:rFonts w:ascii="Arial" w:hAnsi="Arial" w:cs="Arial"/>
          <w:sz w:val="24"/>
          <w:szCs w:val="24"/>
        </w:rPr>
        <w:t xml:space="preserve"> the applicants against the convictions and sentences which was unsuccessful in the High Court was heard by this Court on 20 November 2023 and dismissed on 7 December 2023. The appeal </w:t>
      </w:r>
      <w:r w:rsidR="00823105">
        <w:rPr>
          <w:rFonts w:ascii="Arial" w:hAnsi="Arial" w:cs="Arial"/>
          <w:sz w:val="24"/>
          <w:szCs w:val="24"/>
        </w:rPr>
        <w:t>i</w:t>
      </w:r>
      <w:r w:rsidRPr="00A87E2B">
        <w:rPr>
          <w:rFonts w:ascii="Arial" w:hAnsi="Arial" w:cs="Arial"/>
          <w:sz w:val="24"/>
          <w:szCs w:val="24"/>
        </w:rPr>
        <w:t xml:space="preserve">n </w:t>
      </w:r>
      <w:proofErr w:type="spellStart"/>
      <w:r w:rsidRPr="00A87E2B">
        <w:rPr>
          <w:rFonts w:ascii="Arial" w:hAnsi="Arial" w:cs="Arial"/>
          <w:i/>
          <w:sz w:val="24"/>
          <w:szCs w:val="24"/>
        </w:rPr>
        <w:t>Hellens</w:t>
      </w:r>
      <w:proofErr w:type="spellEnd"/>
      <w:r w:rsidRPr="00A87E2B">
        <w:rPr>
          <w:rFonts w:ascii="Arial" w:hAnsi="Arial" w:cs="Arial"/>
          <w:sz w:val="24"/>
          <w:szCs w:val="24"/>
        </w:rPr>
        <w:t xml:space="preserve"> by the Minister of Home Affairs </w:t>
      </w:r>
      <w:r w:rsidRPr="00A87E2B">
        <w:rPr>
          <w:rFonts w:ascii="Arial" w:hAnsi="Arial" w:cs="Arial"/>
          <w:sz w:val="24"/>
          <w:szCs w:val="24"/>
        </w:rPr>
        <w:lastRenderedPageBreak/>
        <w:t>and other governmental parties against the review and setting aside of the convictions and sentences of the applicants in the High Court was heard by this Court on 22 November 2023 and was allowed on 1 March 2024.</w:t>
      </w:r>
    </w:p>
    <w:p w:rsidR="00025FCB" w:rsidRDefault="00025FCB" w:rsidP="00584C01">
      <w:pPr>
        <w:pStyle w:val="ListParagraph"/>
        <w:spacing w:after="0" w:line="480" w:lineRule="auto"/>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025FCB">
        <w:rPr>
          <w:rFonts w:ascii="Arial" w:hAnsi="Arial" w:cs="Arial"/>
          <w:sz w:val="24"/>
          <w:szCs w:val="24"/>
        </w:rPr>
        <w:t xml:space="preserve">In essence, the applicants alleged in </w:t>
      </w:r>
      <w:proofErr w:type="spellStart"/>
      <w:r w:rsidRPr="00025FCB">
        <w:rPr>
          <w:rFonts w:ascii="Arial" w:hAnsi="Arial" w:cs="Arial"/>
          <w:i/>
          <w:sz w:val="24"/>
          <w:szCs w:val="24"/>
        </w:rPr>
        <w:t>Hellens</w:t>
      </w:r>
      <w:proofErr w:type="spellEnd"/>
      <w:r w:rsidRPr="00025FCB">
        <w:rPr>
          <w:rFonts w:ascii="Arial" w:hAnsi="Arial" w:cs="Arial"/>
          <w:sz w:val="24"/>
          <w:szCs w:val="24"/>
        </w:rPr>
        <w:t xml:space="preserve"> that they were acting under coercion when pleading guilty so as to ‘secure their liberty in order to escape from unlawful custody and from a number of gross irregularities in the proceedings which marred the process into an inhumane and degrading abuse of power violating their freedom or liberty and dignity’.</w:t>
      </w:r>
      <w:r>
        <w:rPr>
          <w:rStyle w:val="FootnoteReference"/>
          <w:rFonts w:ascii="Arial" w:hAnsi="Arial" w:cs="Arial"/>
        </w:rPr>
        <w:footnoteReference w:id="8"/>
      </w:r>
    </w:p>
    <w:p w:rsidR="00025FCB" w:rsidRDefault="00025FCB" w:rsidP="00584C01">
      <w:pPr>
        <w:pStyle w:val="ListParagraph"/>
        <w:spacing w:after="0" w:line="480" w:lineRule="auto"/>
        <w:rPr>
          <w:rFonts w:ascii="Arial" w:hAnsi="Arial" w:cs="Arial"/>
          <w:sz w:val="24"/>
          <w:szCs w:val="24"/>
        </w:rPr>
      </w:pPr>
    </w:p>
    <w:p w:rsidR="00E30FAB" w:rsidRPr="00025FCB" w:rsidRDefault="00E30FAB" w:rsidP="00292DF3">
      <w:pPr>
        <w:pStyle w:val="NoSpacing"/>
        <w:numPr>
          <w:ilvl w:val="0"/>
          <w:numId w:val="1"/>
        </w:numPr>
        <w:spacing w:line="480" w:lineRule="auto"/>
        <w:ind w:left="0" w:firstLine="0"/>
        <w:jc w:val="both"/>
        <w:rPr>
          <w:rFonts w:ascii="Arial" w:hAnsi="Arial" w:cs="Arial"/>
          <w:sz w:val="24"/>
          <w:szCs w:val="24"/>
        </w:rPr>
      </w:pPr>
      <w:r w:rsidRPr="00025FCB">
        <w:rPr>
          <w:rFonts w:ascii="Arial" w:hAnsi="Arial" w:cs="Arial"/>
          <w:sz w:val="24"/>
          <w:szCs w:val="24"/>
        </w:rPr>
        <w:t xml:space="preserve">In the court </w:t>
      </w:r>
      <w:r w:rsidRPr="00025FCB">
        <w:rPr>
          <w:rFonts w:ascii="Arial" w:hAnsi="Arial" w:cs="Arial"/>
          <w:i/>
          <w:sz w:val="24"/>
          <w:szCs w:val="24"/>
        </w:rPr>
        <w:t>a quo</w:t>
      </w:r>
      <w:r w:rsidRPr="00025FCB">
        <w:rPr>
          <w:rFonts w:ascii="Arial" w:hAnsi="Arial" w:cs="Arial"/>
          <w:sz w:val="24"/>
          <w:szCs w:val="24"/>
        </w:rPr>
        <w:t xml:space="preserve">, a point was taken by the respondents that as the High Court dismissed the appeal launched against the convictions and sentences, the matter could not be reconsidered in a review. The court </w:t>
      </w:r>
      <w:r w:rsidRPr="00025FCB">
        <w:rPr>
          <w:rFonts w:ascii="Arial" w:hAnsi="Arial" w:cs="Arial"/>
          <w:i/>
          <w:sz w:val="24"/>
          <w:szCs w:val="24"/>
        </w:rPr>
        <w:t>a quo</w:t>
      </w:r>
      <w:r w:rsidRPr="00025FCB">
        <w:rPr>
          <w:rFonts w:ascii="Arial" w:hAnsi="Arial" w:cs="Arial"/>
          <w:sz w:val="24"/>
          <w:szCs w:val="24"/>
        </w:rPr>
        <w:t xml:space="preserve"> dismissed this point on the basis that the review was totally distinct from the appeal. This approach was not supported in </w:t>
      </w:r>
      <w:proofErr w:type="spellStart"/>
      <w:r w:rsidRPr="00025FCB">
        <w:rPr>
          <w:rFonts w:ascii="Arial" w:hAnsi="Arial" w:cs="Arial"/>
          <w:i/>
          <w:sz w:val="24"/>
          <w:szCs w:val="24"/>
        </w:rPr>
        <w:t>Hellens</w:t>
      </w:r>
      <w:proofErr w:type="spellEnd"/>
      <w:r w:rsidRPr="00025FCB">
        <w:rPr>
          <w:rFonts w:ascii="Arial" w:hAnsi="Arial" w:cs="Arial"/>
          <w:sz w:val="24"/>
          <w:szCs w:val="24"/>
        </w:rPr>
        <w:t xml:space="preserve"> with reference to </w:t>
      </w:r>
      <w:r w:rsidRPr="00025FCB">
        <w:rPr>
          <w:rFonts w:ascii="Arial" w:hAnsi="Arial" w:cs="Arial"/>
          <w:i/>
          <w:sz w:val="24"/>
          <w:szCs w:val="24"/>
        </w:rPr>
        <w:t xml:space="preserve">Liberty Life Association of Africa v </w:t>
      </w:r>
      <w:proofErr w:type="spellStart"/>
      <w:r w:rsidRPr="00025FCB">
        <w:rPr>
          <w:rFonts w:ascii="Arial" w:hAnsi="Arial" w:cs="Arial"/>
          <w:i/>
          <w:sz w:val="24"/>
          <w:szCs w:val="24"/>
        </w:rPr>
        <w:t>Kachelhoffer</w:t>
      </w:r>
      <w:proofErr w:type="spellEnd"/>
      <w:r w:rsidRPr="00025FCB">
        <w:rPr>
          <w:rFonts w:ascii="Arial" w:hAnsi="Arial" w:cs="Arial"/>
          <w:i/>
          <w:sz w:val="24"/>
          <w:szCs w:val="24"/>
        </w:rPr>
        <w:t xml:space="preserve"> NO &amp; others</w:t>
      </w:r>
      <w:r>
        <w:rPr>
          <w:rStyle w:val="FootnoteReference"/>
          <w:rFonts w:ascii="Arial" w:hAnsi="Arial" w:cs="Arial"/>
        </w:rPr>
        <w:footnoteReference w:id="9"/>
      </w:r>
      <w:r w:rsidRPr="00025FCB">
        <w:rPr>
          <w:rFonts w:ascii="Arial" w:hAnsi="Arial" w:cs="Arial"/>
          <w:sz w:val="24"/>
          <w:szCs w:val="24"/>
        </w:rPr>
        <w:t xml:space="preserve"> which was accepted by this Court in </w:t>
      </w:r>
      <w:proofErr w:type="spellStart"/>
      <w:r w:rsidRPr="00025FCB">
        <w:rPr>
          <w:rFonts w:ascii="Arial" w:hAnsi="Arial" w:cs="Arial"/>
          <w:i/>
          <w:sz w:val="24"/>
          <w:szCs w:val="24"/>
        </w:rPr>
        <w:t>Schroëder</w:t>
      </w:r>
      <w:proofErr w:type="spellEnd"/>
      <w:r w:rsidRPr="00025FCB">
        <w:rPr>
          <w:rFonts w:ascii="Arial" w:hAnsi="Arial" w:cs="Arial"/>
          <w:i/>
          <w:sz w:val="24"/>
          <w:szCs w:val="24"/>
        </w:rPr>
        <w:t xml:space="preserve"> &amp; another v Solomon &amp; others</w:t>
      </w:r>
      <w:r w:rsidRPr="00025FCB">
        <w:rPr>
          <w:rFonts w:ascii="Arial" w:hAnsi="Arial" w:cs="Arial"/>
          <w:sz w:val="24"/>
          <w:szCs w:val="24"/>
        </w:rPr>
        <w:t>.</w:t>
      </w:r>
      <w:r>
        <w:rPr>
          <w:rStyle w:val="FootnoteReference"/>
          <w:rFonts w:ascii="Arial" w:hAnsi="Arial" w:cs="Arial"/>
        </w:rPr>
        <w:footnoteReference w:id="10"/>
      </w:r>
      <w:r w:rsidRPr="00025FCB">
        <w:rPr>
          <w:rFonts w:ascii="Arial" w:hAnsi="Arial" w:cs="Arial"/>
          <w:sz w:val="24"/>
          <w:szCs w:val="24"/>
        </w:rPr>
        <w:t xml:space="preserve"> The relevant portion from </w:t>
      </w:r>
      <w:r w:rsidRPr="00025FCB">
        <w:rPr>
          <w:rFonts w:ascii="Arial" w:hAnsi="Arial" w:cs="Arial"/>
          <w:i/>
          <w:sz w:val="24"/>
          <w:szCs w:val="24"/>
        </w:rPr>
        <w:t>Liberty Life Association of Africa</w:t>
      </w:r>
      <w:r w:rsidRPr="00025FCB">
        <w:rPr>
          <w:rFonts w:ascii="Arial" w:hAnsi="Arial" w:cs="Arial"/>
          <w:sz w:val="24"/>
          <w:szCs w:val="24"/>
        </w:rPr>
        <w:t xml:space="preserve"> accepted by this Court reads as follows:</w:t>
      </w:r>
    </w:p>
    <w:p w:rsidR="00E30FAB" w:rsidRDefault="00E30FAB" w:rsidP="006A2BFC">
      <w:pPr>
        <w:pStyle w:val="ListParagraph"/>
        <w:spacing w:after="0" w:line="480" w:lineRule="auto"/>
        <w:rPr>
          <w:rFonts w:ascii="Arial" w:hAnsi="Arial" w:cs="Arial"/>
          <w:sz w:val="24"/>
          <w:szCs w:val="24"/>
        </w:rPr>
      </w:pPr>
    </w:p>
    <w:p w:rsidR="00E30FAB" w:rsidRDefault="00E30FAB" w:rsidP="006A2BFC">
      <w:pPr>
        <w:pStyle w:val="western"/>
        <w:spacing w:before="0" w:beforeAutospacing="0" w:line="360" w:lineRule="auto"/>
        <w:ind w:left="709"/>
        <w:jc w:val="both"/>
        <w:rPr>
          <w:rFonts w:ascii="Arial" w:hAnsi="Arial" w:cs="Arial"/>
          <w:sz w:val="22"/>
          <w:szCs w:val="22"/>
        </w:rPr>
      </w:pPr>
      <w:r w:rsidRPr="005D66A4">
        <w:rPr>
          <w:rFonts w:ascii="Arial" w:hAnsi="Arial" w:cs="Arial"/>
          <w:sz w:val="22"/>
          <w:szCs w:val="22"/>
        </w:rPr>
        <w:t xml:space="preserve">‘Review and appeal are dissimilar proceedings. The former concerns the regularity and validity of the proceedings, whereas the latter concerns the correctness or otherwise of the decision that is being assailed on appeal. Because of that fundamental difference between review and appeal, they are inconsistent remedies in the sense that, if both are available, an appeal can be considered only once the review proceedings have been finalised as a decision in respect of the appeal would preclude the granting of the relief by way of review. Similarly, </w:t>
      </w:r>
      <w:r>
        <w:rPr>
          <w:rFonts w:ascii="Arial" w:hAnsi="Arial" w:cs="Arial"/>
          <w:sz w:val="22"/>
          <w:szCs w:val="22"/>
        </w:rPr>
        <w:t xml:space="preserve">a </w:t>
      </w:r>
      <w:r w:rsidRPr="005D66A4">
        <w:rPr>
          <w:rFonts w:ascii="Arial" w:hAnsi="Arial" w:cs="Arial"/>
          <w:sz w:val="22"/>
          <w:szCs w:val="22"/>
        </w:rPr>
        <w:t xml:space="preserve">successful review obviates the need to consider </w:t>
      </w:r>
      <w:r w:rsidRPr="005D66A4">
        <w:rPr>
          <w:rFonts w:ascii="Arial" w:hAnsi="Arial" w:cs="Arial"/>
          <w:sz w:val="22"/>
          <w:szCs w:val="22"/>
        </w:rPr>
        <w:lastRenderedPageBreak/>
        <w:t>the merits of an appeal. In the premises an appeal, unaccompanied by a review . . . appears to presuppose the regularity and validity of the proceedings in which the decision that is being assailed was given.’</w:t>
      </w:r>
    </w:p>
    <w:p w:rsidR="006A2BFC" w:rsidRPr="00BE4C8F" w:rsidRDefault="006A2BFC" w:rsidP="006A2BFC">
      <w:pPr>
        <w:pStyle w:val="western"/>
        <w:spacing w:before="0" w:beforeAutospacing="0" w:after="0" w:afterAutospacing="0" w:line="480" w:lineRule="auto"/>
        <w:ind w:left="709"/>
        <w:jc w:val="both"/>
        <w:rPr>
          <w:rFonts w:ascii="Arial" w:hAnsi="Arial" w:cs="Arial"/>
        </w:rPr>
      </w:pPr>
    </w:p>
    <w:p w:rsidR="00E30FAB" w:rsidRPr="003F5D73" w:rsidRDefault="00E30FAB" w:rsidP="003D1EC4">
      <w:pPr>
        <w:pStyle w:val="NoSpacing"/>
        <w:numPr>
          <w:ilvl w:val="0"/>
          <w:numId w:val="1"/>
        </w:numPr>
        <w:spacing w:line="480" w:lineRule="auto"/>
        <w:ind w:left="0" w:firstLine="0"/>
        <w:jc w:val="both"/>
        <w:rPr>
          <w:rFonts w:ascii="Arial" w:hAnsi="Arial" w:cs="Arial"/>
          <w:sz w:val="24"/>
          <w:szCs w:val="24"/>
        </w:rPr>
      </w:pPr>
      <w:r w:rsidRPr="003F5D73">
        <w:rPr>
          <w:rFonts w:ascii="Arial" w:hAnsi="Arial" w:cs="Arial"/>
          <w:sz w:val="24"/>
          <w:szCs w:val="24"/>
        </w:rPr>
        <w:t>Based on the above principle</w:t>
      </w:r>
      <w:r w:rsidR="00BB55B2">
        <w:rPr>
          <w:rFonts w:ascii="Arial" w:hAnsi="Arial" w:cs="Arial"/>
          <w:sz w:val="24"/>
          <w:szCs w:val="24"/>
        </w:rPr>
        <w:t>,</w:t>
      </w:r>
      <w:r w:rsidRPr="003F5D73">
        <w:rPr>
          <w:rFonts w:ascii="Arial" w:hAnsi="Arial" w:cs="Arial"/>
          <w:sz w:val="24"/>
          <w:szCs w:val="24"/>
        </w:rPr>
        <w:t xml:space="preserve"> the judg</w:t>
      </w:r>
      <w:r w:rsidR="00A153DD" w:rsidRPr="003F5D73">
        <w:rPr>
          <w:rFonts w:ascii="Arial" w:hAnsi="Arial" w:cs="Arial"/>
          <w:sz w:val="24"/>
          <w:szCs w:val="24"/>
        </w:rPr>
        <w:t xml:space="preserve">e writing for the court </w:t>
      </w:r>
      <w:r w:rsidRPr="003F5D73">
        <w:rPr>
          <w:rFonts w:ascii="Arial" w:hAnsi="Arial" w:cs="Arial"/>
          <w:sz w:val="24"/>
          <w:szCs w:val="24"/>
        </w:rPr>
        <w:t xml:space="preserve">in </w:t>
      </w:r>
      <w:proofErr w:type="spellStart"/>
      <w:r w:rsidRPr="003F5D73">
        <w:rPr>
          <w:rFonts w:ascii="Arial" w:hAnsi="Arial" w:cs="Arial"/>
          <w:i/>
          <w:sz w:val="24"/>
          <w:szCs w:val="24"/>
        </w:rPr>
        <w:t>Hellens</w:t>
      </w:r>
      <w:proofErr w:type="spellEnd"/>
      <w:r w:rsidRPr="003F5D73">
        <w:rPr>
          <w:rFonts w:ascii="Arial" w:hAnsi="Arial" w:cs="Arial"/>
          <w:sz w:val="24"/>
          <w:szCs w:val="24"/>
        </w:rPr>
        <w:t xml:space="preserve"> conclude</w:t>
      </w:r>
      <w:r w:rsidR="00750754" w:rsidRPr="003F5D73">
        <w:rPr>
          <w:rFonts w:ascii="Arial" w:hAnsi="Arial" w:cs="Arial"/>
          <w:sz w:val="24"/>
          <w:szCs w:val="24"/>
        </w:rPr>
        <w:t>d</w:t>
      </w:r>
      <w:r w:rsidRPr="003F5D73">
        <w:rPr>
          <w:rFonts w:ascii="Arial" w:hAnsi="Arial" w:cs="Arial"/>
          <w:sz w:val="24"/>
          <w:szCs w:val="24"/>
        </w:rPr>
        <w:t xml:space="preserve"> that ‘. . . I am of the view that the review court should not have entertained the review application after the appeal was dismissed. The present appeal therefore stands to be dismissed on this ground alone’.</w:t>
      </w:r>
    </w:p>
    <w:p w:rsidR="00025FCB" w:rsidRDefault="00025FCB" w:rsidP="00292DF3">
      <w:pPr>
        <w:pStyle w:val="NoSpacing"/>
        <w:spacing w:line="480" w:lineRule="auto"/>
        <w:ind w:left="360"/>
        <w:jc w:val="both"/>
        <w:rPr>
          <w:rFonts w:ascii="Arial" w:hAnsi="Arial" w:cs="Arial"/>
          <w:sz w:val="24"/>
          <w:szCs w:val="24"/>
        </w:rPr>
      </w:pPr>
    </w:p>
    <w:p w:rsidR="00E30FAB" w:rsidRDefault="00E30FAB" w:rsidP="00292DF3">
      <w:pPr>
        <w:pStyle w:val="NoSpacing"/>
        <w:numPr>
          <w:ilvl w:val="0"/>
          <w:numId w:val="1"/>
        </w:numPr>
        <w:spacing w:line="480" w:lineRule="auto"/>
        <w:ind w:left="0" w:firstLine="0"/>
        <w:jc w:val="both"/>
        <w:rPr>
          <w:rFonts w:ascii="Arial" w:hAnsi="Arial" w:cs="Arial"/>
          <w:sz w:val="24"/>
          <w:szCs w:val="24"/>
        </w:rPr>
      </w:pPr>
      <w:r w:rsidRPr="00276236">
        <w:rPr>
          <w:rFonts w:ascii="Arial" w:hAnsi="Arial" w:cs="Arial"/>
          <w:sz w:val="24"/>
          <w:szCs w:val="24"/>
        </w:rPr>
        <w:t>This principle is attacked by the a</w:t>
      </w:r>
      <w:r w:rsidR="00264E0D">
        <w:rPr>
          <w:rFonts w:ascii="Arial" w:hAnsi="Arial" w:cs="Arial"/>
          <w:sz w:val="24"/>
          <w:szCs w:val="24"/>
        </w:rPr>
        <w:t xml:space="preserve">pplicants as according to them </w:t>
      </w:r>
      <w:r w:rsidRPr="00276236">
        <w:rPr>
          <w:rFonts w:ascii="Arial" w:hAnsi="Arial" w:cs="Arial"/>
          <w:sz w:val="24"/>
          <w:szCs w:val="24"/>
        </w:rPr>
        <w:t>‘. . . it</w:t>
      </w:r>
      <w:r w:rsidR="00276236">
        <w:rPr>
          <w:rFonts w:ascii="Arial" w:hAnsi="Arial" w:cs="Arial"/>
          <w:sz w:val="24"/>
          <w:szCs w:val="24"/>
        </w:rPr>
        <w:t xml:space="preserve"> </w:t>
      </w:r>
      <w:r w:rsidRPr="00276236">
        <w:rPr>
          <w:rFonts w:ascii="Arial" w:hAnsi="Arial" w:cs="Arial"/>
          <w:sz w:val="24"/>
          <w:szCs w:val="24"/>
        </w:rPr>
        <w:t>abolishes the inalienable right of access to the court’. In my view</w:t>
      </w:r>
      <w:r w:rsidR="00BE468E">
        <w:rPr>
          <w:rFonts w:ascii="Arial" w:hAnsi="Arial" w:cs="Arial"/>
          <w:sz w:val="24"/>
          <w:szCs w:val="24"/>
        </w:rPr>
        <w:t xml:space="preserve">, </w:t>
      </w:r>
      <w:r w:rsidRPr="00276236">
        <w:rPr>
          <w:rFonts w:ascii="Arial" w:hAnsi="Arial" w:cs="Arial"/>
          <w:sz w:val="24"/>
          <w:szCs w:val="24"/>
        </w:rPr>
        <w:t>this point</w:t>
      </w:r>
      <w:r w:rsidR="00BE468E">
        <w:rPr>
          <w:rFonts w:ascii="Arial" w:hAnsi="Arial" w:cs="Arial"/>
          <w:sz w:val="24"/>
          <w:szCs w:val="24"/>
        </w:rPr>
        <w:t xml:space="preserve"> is without merit</w:t>
      </w:r>
      <w:r w:rsidRPr="00276236">
        <w:rPr>
          <w:rFonts w:ascii="Arial" w:hAnsi="Arial" w:cs="Arial"/>
          <w:sz w:val="24"/>
          <w:szCs w:val="24"/>
        </w:rPr>
        <w:t>. They had the right to pursue both an appeal and a review but because of the principle announced above, they had to ensure that the review was dealt with prior to the appeal. They simply had to seek a stay or postponement of the appeal pending the finalisation of the review application.</w:t>
      </w:r>
    </w:p>
    <w:p w:rsidR="008D2558" w:rsidRPr="006A2BFC" w:rsidRDefault="008D2558" w:rsidP="008D2558">
      <w:pPr>
        <w:pStyle w:val="NoSpacing"/>
        <w:spacing w:line="480" w:lineRule="auto"/>
        <w:jc w:val="both"/>
        <w:rPr>
          <w:rFonts w:ascii="Arial" w:hAnsi="Arial" w:cs="Arial"/>
          <w:sz w:val="24"/>
          <w:szCs w:val="24"/>
        </w:rPr>
      </w:pPr>
    </w:p>
    <w:p w:rsidR="003E6D1A" w:rsidRDefault="00E30FAB" w:rsidP="00292DF3">
      <w:pPr>
        <w:pStyle w:val="NoSpacing"/>
        <w:numPr>
          <w:ilvl w:val="0"/>
          <w:numId w:val="1"/>
        </w:numPr>
        <w:spacing w:line="480" w:lineRule="auto"/>
        <w:jc w:val="both"/>
        <w:rPr>
          <w:rFonts w:ascii="Arial" w:hAnsi="Arial" w:cs="Arial"/>
          <w:sz w:val="24"/>
          <w:szCs w:val="24"/>
        </w:rPr>
      </w:pPr>
      <w:r>
        <w:rPr>
          <w:rFonts w:ascii="Arial" w:hAnsi="Arial" w:cs="Arial"/>
          <w:sz w:val="24"/>
          <w:szCs w:val="24"/>
        </w:rPr>
        <w:t>The complaints relating to the fact that they, as applicants, in both matters had</w:t>
      </w:r>
    </w:p>
    <w:p w:rsidR="00E30FAB" w:rsidRDefault="00E30FAB" w:rsidP="00292DF3">
      <w:pPr>
        <w:pStyle w:val="NoSpacing"/>
        <w:spacing w:line="480" w:lineRule="auto"/>
        <w:jc w:val="both"/>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exercise the above choice so as not to have the appeal delivered prior to the review did not preclude them from any right of access to the court they might otherwise have had. They simply had to manage the process and the fact they did not is simply their (or their lawyers’) making.</w:t>
      </w:r>
    </w:p>
    <w:p w:rsidR="00E30FAB" w:rsidRDefault="00E30FAB" w:rsidP="00292DF3">
      <w:pPr>
        <w:pStyle w:val="ListParagraph"/>
        <w:spacing w:line="480" w:lineRule="auto"/>
        <w:rPr>
          <w:rFonts w:ascii="Arial" w:hAnsi="Arial" w:cs="Arial"/>
          <w:sz w:val="24"/>
          <w:szCs w:val="24"/>
        </w:rPr>
      </w:pPr>
    </w:p>
    <w:p w:rsidR="00E30FAB" w:rsidRPr="00BE468E" w:rsidRDefault="00E30FAB" w:rsidP="00460C7E">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As far as I am concerned, that is the end of the matter as the rest of the</w:t>
      </w:r>
      <w:r w:rsidR="00460C7E">
        <w:rPr>
          <w:rFonts w:ascii="Arial" w:hAnsi="Arial" w:cs="Arial"/>
          <w:sz w:val="24"/>
          <w:szCs w:val="24"/>
        </w:rPr>
        <w:t xml:space="preserve"> </w:t>
      </w:r>
      <w:r w:rsidRPr="00460C7E">
        <w:rPr>
          <w:rFonts w:ascii="Arial" w:hAnsi="Arial" w:cs="Arial"/>
          <w:sz w:val="24"/>
          <w:szCs w:val="24"/>
        </w:rPr>
        <w:t xml:space="preserve">judgment of the court in </w:t>
      </w:r>
      <w:proofErr w:type="spellStart"/>
      <w:r w:rsidR="00750754" w:rsidRPr="00460C7E">
        <w:rPr>
          <w:rFonts w:ascii="Arial" w:hAnsi="Arial" w:cs="Arial"/>
          <w:i/>
          <w:sz w:val="24"/>
          <w:szCs w:val="24"/>
        </w:rPr>
        <w:t>Hellens</w:t>
      </w:r>
      <w:proofErr w:type="spellEnd"/>
      <w:r w:rsidRPr="00460C7E">
        <w:rPr>
          <w:rFonts w:ascii="Arial" w:hAnsi="Arial" w:cs="Arial"/>
          <w:sz w:val="24"/>
          <w:szCs w:val="24"/>
        </w:rPr>
        <w:t xml:space="preserve"> is strictly </w:t>
      </w:r>
      <w:r w:rsidRPr="00460C7E">
        <w:rPr>
          <w:rFonts w:ascii="Arial" w:hAnsi="Arial" w:cs="Arial"/>
          <w:i/>
          <w:sz w:val="24"/>
          <w:szCs w:val="24"/>
        </w:rPr>
        <w:t>obiter</w:t>
      </w:r>
      <w:r w:rsidRPr="00460C7E">
        <w:rPr>
          <w:rFonts w:ascii="Arial" w:hAnsi="Arial" w:cs="Arial"/>
          <w:sz w:val="24"/>
          <w:szCs w:val="24"/>
        </w:rPr>
        <w:t xml:space="preserve"> as the above consideration alone ‘should have led to their appeal being dismissed’.</w:t>
      </w:r>
    </w:p>
    <w:p w:rsidR="00A65C24" w:rsidRDefault="00E30FAB" w:rsidP="00460C7E">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The second main complaint is that a ‘violation of dignity is not justifiable’. This</w:t>
      </w:r>
    </w:p>
    <w:p w:rsidR="00E30FAB" w:rsidRDefault="00E30FAB" w:rsidP="00460C7E">
      <w:pPr>
        <w:pStyle w:val="NoSpacing"/>
        <w:spacing w:line="480" w:lineRule="auto"/>
        <w:jc w:val="both"/>
        <w:rPr>
          <w:rFonts w:ascii="Arial" w:hAnsi="Arial" w:cs="Arial"/>
          <w:sz w:val="24"/>
          <w:szCs w:val="24"/>
        </w:rPr>
      </w:pPr>
      <w:proofErr w:type="gramStart"/>
      <w:r>
        <w:rPr>
          <w:rFonts w:ascii="Arial" w:hAnsi="Arial" w:cs="Arial"/>
          <w:sz w:val="24"/>
          <w:szCs w:val="24"/>
        </w:rPr>
        <w:lastRenderedPageBreak/>
        <w:t>seems</w:t>
      </w:r>
      <w:proofErr w:type="gramEnd"/>
      <w:r>
        <w:rPr>
          <w:rFonts w:ascii="Arial" w:hAnsi="Arial" w:cs="Arial"/>
          <w:sz w:val="24"/>
          <w:szCs w:val="24"/>
        </w:rPr>
        <w:t xml:space="preserve"> to be premised on an </w:t>
      </w:r>
      <w:r w:rsidR="00780E31">
        <w:rPr>
          <w:rFonts w:ascii="Arial" w:hAnsi="Arial" w:cs="Arial"/>
          <w:sz w:val="24"/>
          <w:szCs w:val="24"/>
        </w:rPr>
        <w:t xml:space="preserve">alleged </w:t>
      </w:r>
      <w:r>
        <w:rPr>
          <w:rFonts w:ascii="Arial" w:hAnsi="Arial" w:cs="Arial"/>
          <w:sz w:val="24"/>
          <w:szCs w:val="24"/>
        </w:rPr>
        <w:t>unlawful arrest which they only discovered after they pleaded guilty to the charges pressed against them and where the violation of their dignity resulted from their incarceration and the manner in which they were transferred to and from the court. According to the applicants</w:t>
      </w:r>
      <w:r w:rsidR="00BE468E">
        <w:rPr>
          <w:rFonts w:ascii="Arial" w:hAnsi="Arial" w:cs="Arial"/>
          <w:sz w:val="24"/>
          <w:szCs w:val="24"/>
        </w:rPr>
        <w:t>,</w:t>
      </w:r>
      <w:r>
        <w:rPr>
          <w:rFonts w:ascii="Arial" w:hAnsi="Arial" w:cs="Arial"/>
          <w:sz w:val="24"/>
          <w:szCs w:val="24"/>
        </w:rPr>
        <w:t xml:space="preserve"> ‘lawful arrest is indubitably an element of the crime for which applicants were arrested’. Lawful arrest was not an element of the crime for which they were arrested as found in </w:t>
      </w:r>
      <w:proofErr w:type="spellStart"/>
      <w:r>
        <w:rPr>
          <w:rFonts w:ascii="Arial" w:hAnsi="Arial" w:cs="Arial"/>
          <w:i/>
          <w:sz w:val="24"/>
          <w:szCs w:val="24"/>
        </w:rPr>
        <w:t>Hellens</w:t>
      </w:r>
      <w:proofErr w:type="spellEnd"/>
      <w:r>
        <w:rPr>
          <w:rFonts w:ascii="Arial" w:hAnsi="Arial" w:cs="Arial"/>
          <w:sz w:val="24"/>
          <w:szCs w:val="24"/>
        </w:rPr>
        <w:t>. In my view</w:t>
      </w:r>
      <w:r w:rsidR="00BE4C8F">
        <w:rPr>
          <w:rFonts w:ascii="Arial" w:hAnsi="Arial" w:cs="Arial"/>
          <w:sz w:val="24"/>
          <w:szCs w:val="24"/>
        </w:rPr>
        <w:t>,</w:t>
      </w:r>
      <w:r>
        <w:rPr>
          <w:rFonts w:ascii="Arial" w:hAnsi="Arial" w:cs="Arial"/>
          <w:sz w:val="24"/>
          <w:szCs w:val="24"/>
        </w:rPr>
        <w:t xml:space="preserve"> this is so obvious that it is surprising that the contrary </w:t>
      </w:r>
      <w:r w:rsidR="001B727A">
        <w:rPr>
          <w:rFonts w:ascii="Arial" w:hAnsi="Arial" w:cs="Arial"/>
          <w:sz w:val="24"/>
          <w:szCs w:val="24"/>
        </w:rPr>
        <w:t>i</w:t>
      </w:r>
      <w:r>
        <w:rPr>
          <w:rFonts w:ascii="Arial" w:hAnsi="Arial" w:cs="Arial"/>
          <w:sz w:val="24"/>
          <w:szCs w:val="24"/>
        </w:rPr>
        <w:t>s contended on behalf of the applicant</w:t>
      </w:r>
      <w:r w:rsidR="001B727A">
        <w:rPr>
          <w:rFonts w:ascii="Arial" w:hAnsi="Arial" w:cs="Arial"/>
          <w:sz w:val="24"/>
          <w:szCs w:val="24"/>
        </w:rPr>
        <w:t>s</w:t>
      </w:r>
      <w:r>
        <w:rPr>
          <w:rFonts w:ascii="Arial" w:hAnsi="Arial" w:cs="Arial"/>
          <w:sz w:val="24"/>
          <w:szCs w:val="24"/>
        </w:rPr>
        <w:t xml:space="preserve">. Nor can I fault the judgment in </w:t>
      </w:r>
      <w:proofErr w:type="spellStart"/>
      <w:r>
        <w:rPr>
          <w:rFonts w:ascii="Arial" w:hAnsi="Arial" w:cs="Arial"/>
          <w:i/>
          <w:sz w:val="24"/>
          <w:szCs w:val="24"/>
        </w:rPr>
        <w:t>Hellens</w:t>
      </w:r>
      <w:proofErr w:type="spellEnd"/>
      <w:r w:rsidRPr="005276E0">
        <w:rPr>
          <w:rFonts w:ascii="Arial" w:hAnsi="Arial" w:cs="Arial"/>
          <w:i/>
          <w:sz w:val="24"/>
          <w:szCs w:val="24"/>
        </w:rPr>
        <w:t xml:space="preserve"> </w:t>
      </w:r>
      <w:r>
        <w:rPr>
          <w:rFonts w:ascii="Arial" w:hAnsi="Arial" w:cs="Arial"/>
          <w:sz w:val="24"/>
          <w:szCs w:val="24"/>
        </w:rPr>
        <w:t>for finding that the unlawful arrest in the circumstances of this case – where coercion or undue influence to plead guilty was not established – did not constitute an irregularity in the proceedings. The compla</w:t>
      </w:r>
      <w:r w:rsidR="008834F8">
        <w:rPr>
          <w:rFonts w:ascii="Arial" w:hAnsi="Arial" w:cs="Arial"/>
          <w:sz w:val="24"/>
          <w:szCs w:val="24"/>
        </w:rPr>
        <w:t>i</w:t>
      </w:r>
      <w:r>
        <w:rPr>
          <w:rFonts w:ascii="Arial" w:hAnsi="Arial" w:cs="Arial"/>
          <w:sz w:val="24"/>
          <w:szCs w:val="24"/>
        </w:rPr>
        <w:t xml:space="preserve">nt thus also has no merit. It needs to be pointed out, as was done in </w:t>
      </w:r>
      <w:proofErr w:type="spellStart"/>
      <w:r>
        <w:rPr>
          <w:rFonts w:ascii="Arial" w:hAnsi="Arial" w:cs="Arial"/>
          <w:i/>
          <w:sz w:val="24"/>
          <w:szCs w:val="24"/>
        </w:rPr>
        <w:t>Hellens</w:t>
      </w:r>
      <w:proofErr w:type="spellEnd"/>
      <w:r>
        <w:rPr>
          <w:rFonts w:ascii="Arial" w:hAnsi="Arial" w:cs="Arial"/>
          <w:sz w:val="24"/>
          <w:szCs w:val="24"/>
        </w:rPr>
        <w:t xml:space="preserve">, that the applicants have remedies in delict for their </w:t>
      </w:r>
      <w:r w:rsidR="008834F8">
        <w:rPr>
          <w:rFonts w:ascii="Arial" w:hAnsi="Arial" w:cs="Arial"/>
          <w:sz w:val="24"/>
          <w:szCs w:val="24"/>
        </w:rPr>
        <w:t xml:space="preserve">alleged </w:t>
      </w:r>
      <w:r>
        <w:rPr>
          <w:rFonts w:ascii="Arial" w:hAnsi="Arial" w:cs="Arial"/>
          <w:sz w:val="24"/>
          <w:szCs w:val="24"/>
        </w:rPr>
        <w:t>unlawful arrest and incarceration.</w:t>
      </w:r>
    </w:p>
    <w:p w:rsidR="00E30FAB" w:rsidRDefault="00E30FAB" w:rsidP="00460C7E">
      <w:pPr>
        <w:pStyle w:val="NoSpacing"/>
        <w:spacing w:line="480" w:lineRule="auto"/>
        <w:jc w:val="both"/>
        <w:rPr>
          <w:rFonts w:ascii="Arial" w:hAnsi="Arial" w:cs="Arial"/>
          <w:sz w:val="24"/>
          <w:szCs w:val="24"/>
        </w:rPr>
      </w:pPr>
    </w:p>
    <w:p w:rsidR="00E30FAB" w:rsidRPr="00460C7E" w:rsidRDefault="00E30FAB" w:rsidP="00460C7E">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It is however necessary to refer to one aspect of the arrest that needs to be</w:t>
      </w:r>
      <w:r w:rsidR="00460C7E">
        <w:rPr>
          <w:rFonts w:ascii="Arial" w:hAnsi="Arial" w:cs="Arial"/>
          <w:sz w:val="24"/>
          <w:szCs w:val="24"/>
        </w:rPr>
        <w:t xml:space="preserve"> </w:t>
      </w:r>
      <w:r w:rsidRPr="00460C7E">
        <w:rPr>
          <w:rFonts w:ascii="Arial" w:hAnsi="Arial" w:cs="Arial"/>
          <w:sz w:val="24"/>
          <w:szCs w:val="24"/>
        </w:rPr>
        <w:t xml:space="preserve">mentioned. Counsel for the prosecution, Mr </w:t>
      </w:r>
      <w:proofErr w:type="spellStart"/>
      <w:r w:rsidRPr="00460C7E">
        <w:rPr>
          <w:rFonts w:ascii="Arial" w:hAnsi="Arial" w:cs="Arial"/>
          <w:sz w:val="24"/>
          <w:szCs w:val="24"/>
        </w:rPr>
        <w:t>Lutibezi</w:t>
      </w:r>
      <w:proofErr w:type="spellEnd"/>
      <w:r w:rsidRPr="00460C7E">
        <w:rPr>
          <w:rFonts w:ascii="Arial" w:hAnsi="Arial" w:cs="Arial"/>
          <w:sz w:val="24"/>
          <w:szCs w:val="24"/>
        </w:rPr>
        <w:t xml:space="preserve">, in an answering affidavit pointed out that if the magistrate’s court lacked jurisdiction (because of the unlawful arrest as asserted by the applicants) they should have raised this pursuant to s 106(1) of the Criminal Procedure Act. Unfortunately </w:t>
      </w:r>
      <w:proofErr w:type="spellStart"/>
      <w:r w:rsidRPr="00460C7E">
        <w:rPr>
          <w:rFonts w:ascii="Arial" w:hAnsi="Arial" w:cs="Arial"/>
          <w:i/>
          <w:sz w:val="24"/>
          <w:szCs w:val="24"/>
        </w:rPr>
        <w:t>Hellens</w:t>
      </w:r>
      <w:proofErr w:type="spellEnd"/>
      <w:r w:rsidRPr="00460C7E">
        <w:rPr>
          <w:rFonts w:ascii="Arial" w:hAnsi="Arial" w:cs="Arial"/>
          <w:sz w:val="24"/>
          <w:szCs w:val="24"/>
        </w:rPr>
        <w:t xml:space="preserve"> seems to uphold this submission.</w:t>
      </w:r>
      <w:r>
        <w:rPr>
          <w:rStyle w:val="FootnoteReference"/>
          <w:rFonts w:ascii="Arial" w:hAnsi="Arial" w:cs="Arial"/>
        </w:rPr>
        <w:footnoteReference w:id="11"/>
      </w:r>
      <w:r w:rsidRPr="00460C7E">
        <w:rPr>
          <w:rFonts w:ascii="Arial" w:hAnsi="Arial" w:cs="Arial"/>
          <w:sz w:val="24"/>
          <w:szCs w:val="24"/>
        </w:rPr>
        <w:t xml:space="preserve"> This appears to be the basis of the complaint based on the </w:t>
      </w:r>
      <w:r w:rsidRPr="00BE4C8F">
        <w:rPr>
          <w:rFonts w:ascii="Arial" w:hAnsi="Arial" w:cs="Arial"/>
          <w:sz w:val="24"/>
          <w:szCs w:val="24"/>
        </w:rPr>
        <w:t>maxim</w:t>
      </w:r>
      <w:r w:rsidRPr="00460C7E">
        <w:rPr>
          <w:rFonts w:ascii="Arial" w:hAnsi="Arial" w:cs="Arial"/>
          <w:i/>
          <w:sz w:val="24"/>
          <w:szCs w:val="24"/>
        </w:rPr>
        <w:t xml:space="preserve"> </w:t>
      </w:r>
      <w:proofErr w:type="spellStart"/>
      <w:r w:rsidRPr="00460C7E">
        <w:rPr>
          <w:rFonts w:ascii="Arial" w:hAnsi="Arial" w:cs="Arial"/>
          <w:i/>
          <w:sz w:val="24"/>
          <w:szCs w:val="24"/>
        </w:rPr>
        <w:t>lex</w:t>
      </w:r>
      <w:proofErr w:type="spellEnd"/>
      <w:r w:rsidRPr="00460C7E">
        <w:rPr>
          <w:rFonts w:ascii="Arial" w:hAnsi="Arial" w:cs="Arial"/>
          <w:i/>
          <w:sz w:val="24"/>
          <w:szCs w:val="24"/>
        </w:rPr>
        <w:t xml:space="preserve"> non </w:t>
      </w:r>
      <w:proofErr w:type="spellStart"/>
      <w:r w:rsidRPr="00460C7E">
        <w:rPr>
          <w:rFonts w:ascii="Arial" w:hAnsi="Arial" w:cs="Arial"/>
          <w:i/>
          <w:sz w:val="24"/>
          <w:szCs w:val="24"/>
        </w:rPr>
        <w:t>cogit</w:t>
      </w:r>
      <w:proofErr w:type="spellEnd"/>
      <w:r w:rsidRPr="00460C7E">
        <w:rPr>
          <w:rFonts w:ascii="Arial" w:hAnsi="Arial" w:cs="Arial"/>
          <w:i/>
          <w:sz w:val="24"/>
          <w:szCs w:val="24"/>
        </w:rPr>
        <w:t xml:space="preserve"> </w:t>
      </w:r>
      <w:proofErr w:type="spellStart"/>
      <w:r w:rsidRPr="00460C7E">
        <w:rPr>
          <w:rFonts w:ascii="Arial" w:hAnsi="Arial" w:cs="Arial"/>
          <w:i/>
          <w:sz w:val="24"/>
          <w:szCs w:val="24"/>
        </w:rPr>
        <w:t>ad</w:t>
      </w:r>
      <w:proofErr w:type="spellEnd"/>
      <w:r w:rsidRPr="00460C7E">
        <w:rPr>
          <w:rFonts w:ascii="Arial" w:hAnsi="Arial" w:cs="Arial"/>
          <w:i/>
          <w:sz w:val="24"/>
          <w:szCs w:val="24"/>
        </w:rPr>
        <w:t xml:space="preserve"> </w:t>
      </w:r>
      <w:proofErr w:type="spellStart"/>
      <w:r w:rsidRPr="00460C7E">
        <w:rPr>
          <w:rFonts w:ascii="Arial" w:hAnsi="Arial" w:cs="Arial"/>
          <w:i/>
          <w:sz w:val="24"/>
          <w:szCs w:val="24"/>
        </w:rPr>
        <w:t>impossibilia</w:t>
      </w:r>
      <w:proofErr w:type="spellEnd"/>
      <w:r w:rsidRPr="00460C7E">
        <w:rPr>
          <w:rFonts w:ascii="Arial" w:hAnsi="Arial" w:cs="Arial"/>
          <w:sz w:val="24"/>
          <w:szCs w:val="24"/>
        </w:rPr>
        <w:t xml:space="preserve">. This is so because it is clear that the fact that the immigration officer lacked the power to arrest the applicants was only discovered by the applicants’ subsequent to their convictions and sentencing. They could thus not have raised jurisdiction at the time they pleaded to the charges and hence to state that they should </w:t>
      </w:r>
      <w:r w:rsidRPr="00460C7E">
        <w:rPr>
          <w:rFonts w:ascii="Arial" w:hAnsi="Arial" w:cs="Arial"/>
          <w:sz w:val="24"/>
          <w:szCs w:val="24"/>
        </w:rPr>
        <w:lastRenderedPageBreak/>
        <w:t>have is to expect an impossibility from them. As this point was not pivotal to the decision and such plea might in any event not have succeeded as is apparent from the decision relating to the effect of unlawful arrests on subsequent proceedings which does not necessarily lead to the resultant proceedings</w:t>
      </w:r>
      <w:r w:rsidR="00957995">
        <w:rPr>
          <w:rFonts w:ascii="Arial" w:hAnsi="Arial" w:cs="Arial"/>
          <w:sz w:val="24"/>
          <w:szCs w:val="24"/>
        </w:rPr>
        <w:t xml:space="preserve"> being</w:t>
      </w:r>
      <w:r w:rsidRPr="00460C7E">
        <w:rPr>
          <w:rFonts w:ascii="Arial" w:hAnsi="Arial" w:cs="Arial"/>
          <w:sz w:val="24"/>
          <w:szCs w:val="24"/>
        </w:rPr>
        <w:t xml:space="preserve"> nullified. This contention thus does not give rise to a valid reason to invoke Art 81.</w:t>
      </w:r>
    </w:p>
    <w:p w:rsidR="00E30FAB" w:rsidRDefault="00E30FAB" w:rsidP="00460C7E">
      <w:pPr>
        <w:pStyle w:val="NoSpacing"/>
        <w:spacing w:line="480" w:lineRule="auto"/>
        <w:jc w:val="both"/>
        <w:rPr>
          <w:rFonts w:ascii="Arial" w:hAnsi="Arial" w:cs="Arial"/>
          <w:sz w:val="24"/>
          <w:szCs w:val="24"/>
        </w:rPr>
      </w:pPr>
    </w:p>
    <w:p w:rsidR="00A65C24" w:rsidRDefault="00E30FAB" w:rsidP="00460C7E">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 xml:space="preserve"> Lastly, I cannot fathom the </w:t>
      </w:r>
      <w:proofErr w:type="spellStart"/>
      <w:r w:rsidRPr="00A47DFB">
        <w:rPr>
          <w:rFonts w:ascii="Arial" w:hAnsi="Arial" w:cs="Arial"/>
          <w:i/>
          <w:sz w:val="24"/>
          <w:szCs w:val="24"/>
        </w:rPr>
        <w:t>nullem</w:t>
      </w:r>
      <w:proofErr w:type="spellEnd"/>
      <w:r w:rsidRPr="00A47DFB">
        <w:rPr>
          <w:rFonts w:ascii="Arial" w:hAnsi="Arial" w:cs="Arial"/>
          <w:i/>
          <w:sz w:val="24"/>
          <w:szCs w:val="24"/>
        </w:rPr>
        <w:t xml:space="preserve"> </w:t>
      </w:r>
      <w:proofErr w:type="spellStart"/>
      <w:r w:rsidRPr="00A47DFB">
        <w:rPr>
          <w:rFonts w:ascii="Arial" w:hAnsi="Arial" w:cs="Arial"/>
          <w:i/>
          <w:sz w:val="24"/>
          <w:szCs w:val="24"/>
        </w:rPr>
        <w:t>c</w:t>
      </w:r>
      <w:r>
        <w:rPr>
          <w:rFonts w:ascii="Arial" w:hAnsi="Arial" w:cs="Arial"/>
          <w:i/>
          <w:sz w:val="24"/>
          <w:szCs w:val="24"/>
        </w:rPr>
        <w:t>r</w:t>
      </w:r>
      <w:r w:rsidRPr="00A47DFB">
        <w:rPr>
          <w:rFonts w:ascii="Arial" w:hAnsi="Arial" w:cs="Arial"/>
          <w:i/>
          <w:sz w:val="24"/>
          <w:szCs w:val="24"/>
        </w:rPr>
        <w:t>imen</w:t>
      </w:r>
      <w:proofErr w:type="spellEnd"/>
      <w:r w:rsidRPr="00A47DFB">
        <w:rPr>
          <w:rFonts w:ascii="Arial" w:hAnsi="Arial" w:cs="Arial"/>
          <w:i/>
          <w:sz w:val="24"/>
          <w:szCs w:val="24"/>
        </w:rPr>
        <w:t xml:space="preserve"> sine </w:t>
      </w:r>
      <w:proofErr w:type="spellStart"/>
      <w:r w:rsidRPr="00A47DFB">
        <w:rPr>
          <w:rFonts w:ascii="Arial" w:hAnsi="Arial" w:cs="Arial"/>
          <w:i/>
          <w:sz w:val="24"/>
          <w:szCs w:val="24"/>
        </w:rPr>
        <w:t>lege</w:t>
      </w:r>
      <w:proofErr w:type="spellEnd"/>
      <w:r>
        <w:rPr>
          <w:rFonts w:ascii="Arial" w:hAnsi="Arial" w:cs="Arial"/>
          <w:sz w:val="24"/>
          <w:szCs w:val="24"/>
        </w:rPr>
        <w:t xml:space="preserve"> maxim raised as the crime</w:t>
      </w:r>
    </w:p>
    <w:p w:rsidR="00E30FAB" w:rsidRDefault="00E30FAB" w:rsidP="00460C7E">
      <w:pPr>
        <w:pStyle w:val="NoSpacing"/>
        <w:spacing w:line="480" w:lineRule="auto"/>
        <w:jc w:val="both"/>
        <w:rPr>
          <w:rFonts w:ascii="Arial" w:hAnsi="Arial" w:cs="Arial"/>
          <w:sz w:val="24"/>
          <w:szCs w:val="24"/>
        </w:rPr>
      </w:pPr>
      <w:r>
        <w:rPr>
          <w:rFonts w:ascii="Arial" w:hAnsi="Arial" w:cs="Arial"/>
          <w:sz w:val="24"/>
          <w:szCs w:val="24"/>
        </w:rPr>
        <w:t>(</w:t>
      </w:r>
      <w:proofErr w:type="spellStart"/>
      <w:proofErr w:type="gramStart"/>
      <w:r w:rsidRPr="00EF0084">
        <w:rPr>
          <w:rFonts w:ascii="Arial" w:hAnsi="Arial" w:cs="Arial"/>
          <w:i/>
          <w:sz w:val="24"/>
          <w:szCs w:val="24"/>
        </w:rPr>
        <w:t>crimen</w:t>
      </w:r>
      <w:proofErr w:type="spellEnd"/>
      <w:proofErr w:type="gramEnd"/>
      <w:r>
        <w:rPr>
          <w:rFonts w:ascii="Arial" w:hAnsi="Arial" w:cs="Arial"/>
          <w:sz w:val="24"/>
          <w:szCs w:val="24"/>
        </w:rPr>
        <w:t>) follows from the ICA (</w:t>
      </w:r>
      <w:proofErr w:type="spellStart"/>
      <w:r w:rsidRPr="00A47DFB">
        <w:rPr>
          <w:rFonts w:ascii="Arial" w:hAnsi="Arial" w:cs="Arial"/>
          <w:i/>
          <w:sz w:val="24"/>
          <w:szCs w:val="24"/>
        </w:rPr>
        <w:t>lege</w:t>
      </w:r>
      <w:proofErr w:type="spellEnd"/>
      <w:r>
        <w:rPr>
          <w:rFonts w:ascii="Arial" w:hAnsi="Arial" w:cs="Arial"/>
          <w:sz w:val="24"/>
          <w:szCs w:val="24"/>
        </w:rPr>
        <w:t xml:space="preserve">) and it seems what applicants seek to suggest is that because they are innocent the maxim applies. This is clearly a convoluted manner to approach the maxim and </w:t>
      </w:r>
      <w:r w:rsidR="00957995">
        <w:rPr>
          <w:rFonts w:ascii="Arial" w:hAnsi="Arial" w:cs="Arial"/>
          <w:sz w:val="24"/>
          <w:szCs w:val="24"/>
        </w:rPr>
        <w:t xml:space="preserve">it is </w:t>
      </w:r>
      <w:r>
        <w:rPr>
          <w:rFonts w:ascii="Arial" w:hAnsi="Arial" w:cs="Arial"/>
          <w:sz w:val="24"/>
          <w:szCs w:val="24"/>
        </w:rPr>
        <w:t>without merit.</w:t>
      </w:r>
    </w:p>
    <w:p w:rsidR="00E30FAB" w:rsidRDefault="00E30FAB" w:rsidP="00584C01">
      <w:pPr>
        <w:pStyle w:val="ListParagraph"/>
        <w:spacing w:after="0" w:line="480" w:lineRule="auto"/>
        <w:ind w:left="0"/>
        <w:jc w:val="both"/>
        <w:rPr>
          <w:rFonts w:ascii="Arial" w:hAnsi="Arial" w:cs="Arial"/>
          <w:sz w:val="24"/>
          <w:szCs w:val="24"/>
        </w:rPr>
      </w:pPr>
    </w:p>
    <w:p w:rsidR="00A65C24" w:rsidRDefault="00E30FAB" w:rsidP="00460C7E">
      <w:pPr>
        <w:pStyle w:val="NoSpacing"/>
        <w:numPr>
          <w:ilvl w:val="0"/>
          <w:numId w:val="1"/>
        </w:numPr>
        <w:spacing w:line="480" w:lineRule="auto"/>
        <w:ind w:left="0" w:firstLine="0"/>
        <w:jc w:val="both"/>
        <w:rPr>
          <w:rFonts w:ascii="Arial" w:hAnsi="Arial" w:cs="Arial"/>
          <w:sz w:val="24"/>
          <w:szCs w:val="24"/>
        </w:rPr>
      </w:pPr>
      <w:r>
        <w:rPr>
          <w:rFonts w:ascii="Arial" w:hAnsi="Arial" w:cs="Arial"/>
          <w:sz w:val="24"/>
          <w:szCs w:val="24"/>
        </w:rPr>
        <w:t xml:space="preserve">I am thus of the view that the Art 81 approach be declined as no case has been </w:t>
      </w:r>
    </w:p>
    <w:p w:rsidR="001F2325" w:rsidRDefault="00E30FAB" w:rsidP="00460C7E">
      <w:pPr>
        <w:pStyle w:val="NoSpacing"/>
        <w:spacing w:line="480" w:lineRule="auto"/>
        <w:jc w:val="both"/>
        <w:rPr>
          <w:rFonts w:ascii="Arial" w:hAnsi="Arial" w:cs="Arial"/>
          <w:sz w:val="24"/>
          <w:szCs w:val="24"/>
        </w:rPr>
      </w:pPr>
      <w:proofErr w:type="gramStart"/>
      <w:r>
        <w:rPr>
          <w:rFonts w:ascii="Arial" w:hAnsi="Arial" w:cs="Arial"/>
          <w:sz w:val="24"/>
          <w:szCs w:val="24"/>
        </w:rPr>
        <w:t>made</w:t>
      </w:r>
      <w:proofErr w:type="gramEnd"/>
      <w:r>
        <w:rPr>
          <w:rFonts w:ascii="Arial" w:hAnsi="Arial" w:cs="Arial"/>
          <w:sz w:val="24"/>
          <w:szCs w:val="24"/>
        </w:rPr>
        <w:t xml:space="preserve"> out for the invocation of Art 81</w:t>
      </w:r>
      <w:r w:rsidR="00BE4C8F">
        <w:rPr>
          <w:rFonts w:ascii="Arial" w:hAnsi="Arial" w:cs="Arial"/>
          <w:sz w:val="24"/>
          <w:szCs w:val="24"/>
        </w:rPr>
        <w:t xml:space="preserve"> of the Namibian Constitution</w:t>
      </w:r>
      <w:r w:rsidR="00FF6296">
        <w:rPr>
          <w:rFonts w:ascii="Arial" w:hAnsi="Arial" w:cs="Arial"/>
          <w:sz w:val="24"/>
          <w:szCs w:val="24"/>
        </w:rPr>
        <w:t xml:space="preserve"> and I also decline the application.</w:t>
      </w:r>
    </w:p>
    <w:p w:rsidR="00A65C24" w:rsidRDefault="00A65C24" w:rsidP="00460C7E">
      <w:pPr>
        <w:pStyle w:val="NoSpacing"/>
        <w:spacing w:line="480" w:lineRule="auto"/>
        <w:jc w:val="both"/>
        <w:rPr>
          <w:rFonts w:ascii="Arial" w:hAnsi="Arial" w:cs="Arial"/>
          <w:sz w:val="24"/>
          <w:szCs w:val="24"/>
        </w:rPr>
      </w:pPr>
    </w:p>
    <w:p w:rsidR="00A65C24" w:rsidRPr="001F2325" w:rsidRDefault="00A65C24" w:rsidP="00460C7E">
      <w:pPr>
        <w:pStyle w:val="NoSpacing"/>
        <w:spacing w:line="480" w:lineRule="auto"/>
        <w:jc w:val="both"/>
        <w:rPr>
          <w:rFonts w:ascii="Arial" w:hAnsi="Arial" w:cs="Arial"/>
          <w:sz w:val="24"/>
          <w:szCs w:val="24"/>
        </w:rPr>
      </w:pPr>
    </w:p>
    <w:p w:rsidR="001F2325" w:rsidRDefault="001F2325" w:rsidP="00460C7E">
      <w:pPr>
        <w:spacing w:after="0" w:line="480" w:lineRule="auto"/>
        <w:jc w:val="both"/>
        <w:rPr>
          <w:rFonts w:ascii="Arial" w:hAnsi="Arial" w:cs="Arial"/>
          <w:b/>
          <w:sz w:val="24"/>
          <w:szCs w:val="24"/>
        </w:rPr>
      </w:pPr>
      <w:r>
        <w:rPr>
          <w:rFonts w:ascii="Arial" w:hAnsi="Arial" w:cs="Arial"/>
          <w:b/>
          <w:sz w:val="24"/>
          <w:szCs w:val="24"/>
        </w:rPr>
        <w:t>__________________</w:t>
      </w:r>
    </w:p>
    <w:p w:rsidR="00BE4C8F" w:rsidRDefault="004254F9" w:rsidP="00BE4C8F">
      <w:pPr>
        <w:spacing w:after="0" w:line="480" w:lineRule="auto"/>
        <w:jc w:val="both"/>
        <w:rPr>
          <w:rFonts w:ascii="Arial" w:hAnsi="Arial" w:cs="Arial"/>
          <w:color w:val="000000" w:themeColor="text1"/>
          <w:sz w:val="24"/>
          <w:szCs w:val="24"/>
        </w:rPr>
      </w:pPr>
      <w:r>
        <w:rPr>
          <w:rFonts w:ascii="Arial" w:hAnsi="Arial" w:cs="Arial"/>
          <w:b/>
          <w:sz w:val="24"/>
          <w:szCs w:val="24"/>
        </w:rPr>
        <w:t xml:space="preserve">FRANK AJA </w:t>
      </w:r>
    </w:p>
    <w:p w:rsidR="00BE4C8F" w:rsidRDefault="00BE4C8F" w:rsidP="00A41199">
      <w:pPr>
        <w:ind w:left="-108" w:right="-146"/>
        <w:rPr>
          <w:rFonts w:ascii="Arial" w:hAnsi="Arial" w:cs="Arial"/>
          <w:color w:val="000000" w:themeColor="text1"/>
          <w:sz w:val="24"/>
          <w:szCs w:val="24"/>
        </w:rPr>
      </w:pPr>
    </w:p>
    <w:p w:rsidR="00BE4C8F" w:rsidRDefault="00BE4C8F">
      <w:pPr>
        <w:rPr>
          <w:rFonts w:ascii="Arial" w:hAnsi="Arial" w:cs="Arial"/>
          <w:color w:val="000000" w:themeColor="text1"/>
          <w:sz w:val="24"/>
          <w:szCs w:val="24"/>
        </w:rPr>
      </w:pPr>
    </w:p>
    <w:sectPr w:rsidR="00BE4C8F" w:rsidSect="00FF6296">
      <w:headerReference w:type="default" r:id="rId9"/>
      <w:pgSz w:w="11906" w:h="16838"/>
      <w:pgMar w:top="1440" w:right="1440" w:bottom="1135"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13" w:rsidRDefault="009D2E13" w:rsidP="00F16314">
      <w:pPr>
        <w:spacing w:after="0" w:line="240" w:lineRule="auto"/>
      </w:pPr>
      <w:r>
        <w:separator/>
      </w:r>
    </w:p>
  </w:endnote>
  <w:endnote w:type="continuationSeparator" w:id="0">
    <w:p w:rsidR="009D2E13" w:rsidRDefault="009D2E13" w:rsidP="00F1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13" w:rsidRDefault="009D2E13" w:rsidP="00F16314">
      <w:pPr>
        <w:spacing w:after="0" w:line="240" w:lineRule="auto"/>
      </w:pPr>
      <w:r>
        <w:separator/>
      </w:r>
    </w:p>
  </w:footnote>
  <w:footnote w:type="continuationSeparator" w:id="0">
    <w:p w:rsidR="009D2E13" w:rsidRDefault="009D2E13" w:rsidP="00F16314">
      <w:pPr>
        <w:spacing w:after="0" w:line="240" w:lineRule="auto"/>
      </w:pPr>
      <w:r>
        <w:continuationSeparator/>
      </w:r>
    </w:p>
  </w:footnote>
  <w:footnote w:id="1">
    <w:p w:rsidR="00F600D7" w:rsidRPr="00A41199" w:rsidRDefault="00F600D7" w:rsidP="00A41199">
      <w:pPr>
        <w:pStyle w:val="FootnoteText"/>
        <w:jc w:val="both"/>
        <w:rPr>
          <w:rFonts w:ascii="Arial" w:hAnsi="Arial" w:cs="Arial"/>
        </w:rPr>
      </w:pPr>
      <w:r w:rsidRPr="00A41199">
        <w:rPr>
          <w:rStyle w:val="FootnoteReference"/>
          <w:rFonts w:ascii="Arial" w:hAnsi="Arial" w:cs="Arial"/>
        </w:rPr>
        <w:footnoteRef/>
      </w:r>
      <w:r w:rsidRPr="00A41199">
        <w:rPr>
          <w:rFonts w:ascii="Arial" w:hAnsi="Arial" w:cs="Arial"/>
        </w:rPr>
        <w:t xml:space="preserve"> Rendering</w:t>
      </w:r>
      <w:r w:rsidR="00055679">
        <w:rPr>
          <w:rFonts w:ascii="Arial" w:hAnsi="Arial" w:cs="Arial"/>
        </w:rPr>
        <w:t xml:space="preserve"> the</w:t>
      </w:r>
      <w:r w:rsidRPr="00A41199">
        <w:rPr>
          <w:rFonts w:ascii="Arial" w:hAnsi="Arial" w:cs="Arial"/>
        </w:rPr>
        <w:t xml:space="preserve"> service of legal practitioners </w:t>
      </w:r>
      <w:r w:rsidR="00055679">
        <w:rPr>
          <w:rFonts w:ascii="Arial" w:hAnsi="Arial" w:cs="Arial"/>
        </w:rPr>
        <w:t>without</w:t>
      </w:r>
      <w:r w:rsidR="002560C8" w:rsidRPr="00A41199">
        <w:rPr>
          <w:rFonts w:ascii="Arial" w:hAnsi="Arial" w:cs="Arial"/>
        </w:rPr>
        <w:t xml:space="preserve"> work permits and g</w:t>
      </w:r>
      <w:r w:rsidR="00150670" w:rsidRPr="00A41199">
        <w:rPr>
          <w:rFonts w:ascii="Arial" w:hAnsi="Arial" w:cs="Arial"/>
        </w:rPr>
        <w:t>iving false or misleading information to an immigration officer by in</w:t>
      </w:r>
      <w:r w:rsidR="00F05E76">
        <w:rPr>
          <w:rFonts w:ascii="Arial" w:hAnsi="Arial" w:cs="Arial"/>
        </w:rPr>
        <w:t>dicating</w:t>
      </w:r>
      <w:r w:rsidR="00150670" w:rsidRPr="00A41199">
        <w:rPr>
          <w:rFonts w:ascii="Arial" w:hAnsi="Arial" w:cs="Arial"/>
        </w:rPr>
        <w:t xml:space="preserve"> </w:t>
      </w:r>
      <w:r w:rsidR="00CB3009" w:rsidRPr="00A41199">
        <w:rPr>
          <w:rFonts w:ascii="Arial" w:hAnsi="Arial" w:cs="Arial"/>
        </w:rPr>
        <w:t>that the purpose of their entry was a meeting and a visit respectively.</w:t>
      </w:r>
    </w:p>
  </w:footnote>
  <w:footnote w:id="2">
    <w:p w:rsidR="00B70D02" w:rsidRPr="00A41199" w:rsidRDefault="00B70D02" w:rsidP="00A41199">
      <w:pPr>
        <w:pStyle w:val="FootnoteText"/>
        <w:rPr>
          <w:rFonts w:ascii="Arial" w:hAnsi="Arial" w:cs="Arial"/>
        </w:rPr>
      </w:pPr>
      <w:r w:rsidRPr="00A41199">
        <w:rPr>
          <w:rStyle w:val="FootnoteReference"/>
          <w:rFonts w:ascii="Arial" w:hAnsi="Arial" w:cs="Arial"/>
        </w:rPr>
        <w:footnoteRef/>
      </w:r>
      <w:r w:rsidRPr="00A41199">
        <w:rPr>
          <w:rFonts w:ascii="Arial" w:hAnsi="Arial" w:cs="Arial"/>
        </w:rPr>
        <w:t xml:space="preserve"> </w:t>
      </w:r>
      <w:r w:rsidRPr="00A41199">
        <w:rPr>
          <w:rFonts w:ascii="Arial" w:hAnsi="Arial" w:cs="Arial"/>
          <w:i/>
        </w:rPr>
        <w:t xml:space="preserve">Minister of Home Affairs &amp; others v </w:t>
      </w:r>
      <w:proofErr w:type="spellStart"/>
      <w:r w:rsidRPr="00A41199">
        <w:rPr>
          <w:rFonts w:ascii="Arial" w:hAnsi="Arial" w:cs="Arial"/>
          <w:i/>
        </w:rPr>
        <w:t>Hellens</w:t>
      </w:r>
      <w:proofErr w:type="spellEnd"/>
      <w:r w:rsidRPr="00A41199">
        <w:rPr>
          <w:rFonts w:ascii="Arial" w:hAnsi="Arial" w:cs="Arial"/>
          <w:i/>
        </w:rPr>
        <w:t xml:space="preserve"> &amp; another </w:t>
      </w:r>
      <w:r w:rsidR="006C14F1">
        <w:rPr>
          <w:rFonts w:ascii="Arial" w:hAnsi="Arial" w:cs="Arial"/>
        </w:rPr>
        <w:t>(SA 64/2021) [2024] NAS</w:t>
      </w:r>
      <w:r w:rsidRPr="00A41199">
        <w:rPr>
          <w:rFonts w:ascii="Arial" w:hAnsi="Arial" w:cs="Arial"/>
        </w:rPr>
        <w:t>C (1 March 2024).</w:t>
      </w:r>
    </w:p>
  </w:footnote>
  <w:footnote w:id="3">
    <w:p w:rsidR="00F77D3D" w:rsidRPr="00A41199" w:rsidRDefault="00F77D3D" w:rsidP="00A41199">
      <w:pPr>
        <w:pStyle w:val="FootnoteText"/>
        <w:rPr>
          <w:rFonts w:ascii="Arial" w:hAnsi="Arial" w:cs="Arial"/>
        </w:rPr>
      </w:pPr>
      <w:r w:rsidRPr="00A41199">
        <w:rPr>
          <w:rStyle w:val="FootnoteReference"/>
          <w:rFonts w:ascii="Arial" w:hAnsi="Arial" w:cs="Arial"/>
        </w:rPr>
        <w:footnoteRef/>
      </w:r>
      <w:r w:rsidRPr="00A41199">
        <w:rPr>
          <w:rFonts w:ascii="Arial" w:hAnsi="Arial" w:cs="Arial"/>
        </w:rPr>
        <w:t xml:space="preserve"> </w:t>
      </w:r>
      <w:r w:rsidR="002B1065" w:rsidRPr="00A41199">
        <w:rPr>
          <w:rFonts w:ascii="Arial" w:hAnsi="Arial" w:cs="Arial"/>
          <w:i/>
        </w:rPr>
        <w:t xml:space="preserve">State v </w:t>
      </w:r>
      <w:proofErr w:type="spellStart"/>
      <w:r w:rsidR="002B1065" w:rsidRPr="00A41199">
        <w:rPr>
          <w:rFonts w:ascii="Arial" w:hAnsi="Arial" w:cs="Arial"/>
          <w:i/>
        </w:rPr>
        <w:t>Likanyi</w:t>
      </w:r>
      <w:proofErr w:type="spellEnd"/>
      <w:r w:rsidR="002B1065" w:rsidRPr="00A41199">
        <w:rPr>
          <w:rFonts w:ascii="Arial" w:hAnsi="Arial" w:cs="Arial"/>
          <w:i/>
        </w:rPr>
        <w:t xml:space="preserve"> </w:t>
      </w:r>
      <w:r w:rsidR="002B1065" w:rsidRPr="00A41199">
        <w:rPr>
          <w:rFonts w:ascii="Arial" w:hAnsi="Arial" w:cs="Arial"/>
        </w:rPr>
        <w:t>2017 (3) NR 771 (SC) paras 31, 52 and 53.</w:t>
      </w:r>
    </w:p>
  </w:footnote>
  <w:footnote w:id="4">
    <w:p w:rsidR="009571D3" w:rsidRPr="00A41199" w:rsidRDefault="009571D3" w:rsidP="00A41199">
      <w:pPr>
        <w:pStyle w:val="FootnoteText"/>
        <w:rPr>
          <w:rFonts w:ascii="Arial" w:hAnsi="Arial" w:cs="Arial"/>
        </w:rPr>
      </w:pPr>
      <w:r w:rsidRPr="00A41199">
        <w:rPr>
          <w:rStyle w:val="FootnoteReference"/>
          <w:rFonts w:ascii="Arial" w:hAnsi="Arial" w:cs="Arial"/>
        </w:rPr>
        <w:footnoteRef/>
      </w:r>
      <w:r w:rsidRPr="00A41199">
        <w:rPr>
          <w:rFonts w:ascii="Arial" w:hAnsi="Arial" w:cs="Arial"/>
        </w:rPr>
        <w:t xml:space="preserve"> </w:t>
      </w:r>
      <w:proofErr w:type="spellStart"/>
      <w:r w:rsidRPr="00A41199">
        <w:rPr>
          <w:rFonts w:ascii="Arial" w:hAnsi="Arial" w:cs="Arial"/>
          <w:i/>
        </w:rPr>
        <w:t>Likanyi</w:t>
      </w:r>
      <w:proofErr w:type="spellEnd"/>
      <w:r w:rsidRPr="00A41199">
        <w:rPr>
          <w:rFonts w:ascii="Arial" w:hAnsi="Arial" w:cs="Arial"/>
          <w:i/>
        </w:rPr>
        <w:t xml:space="preserve"> </w:t>
      </w:r>
      <w:r w:rsidRPr="00A41199">
        <w:rPr>
          <w:rFonts w:ascii="Arial" w:hAnsi="Arial" w:cs="Arial"/>
        </w:rPr>
        <w:t>paras 54 to 57.</w:t>
      </w:r>
    </w:p>
  </w:footnote>
  <w:footnote w:id="5">
    <w:p w:rsidR="00E30FAB" w:rsidRPr="00A41199" w:rsidRDefault="00E30FAB" w:rsidP="00A41199">
      <w:pPr>
        <w:pStyle w:val="FootnoteText"/>
        <w:jc w:val="both"/>
        <w:rPr>
          <w:rFonts w:ascii="Arial" w:hAnsi="Arial" w:cs="Arial"/>
          <w:i/>
        </w:rPr>
      </w:pPr>
      <w:r w:rsidRPr="00A41199">
        <w:rPr>
          <w:rStyle w:val="FootnoteReference"/>
          <w:rFonts w:ascii="Arial" w:hAnsi="Arial" w:cs="Arial"/>
        </w:rPr>
        <w:footnoteRef/>
      </w:r>
      <w:r w:rsidRPr="00A41199">
        <w:rPr>
          <w:rFonts w:ascii="Arial" w:hAnsi="Arial" w:cs="Arial"/>
        </w:rPr>
        <w:t xml:space="preserve"> </w:t>
      </w:r>
      <w:r w:rsidRPr="00A41199">
        <w:rPr>
          <w:rFonts w:ascii="Arial" w:hAnsi="Arial" w:cs="Arial"/>
          <w:i/>
        </w:rPr>
        <w:t xml:space="preserve">State v </w:t>
      </w:r>
      <w:proofErr w:type="spellStart"/>
      <w:r w:rsidRPr="00A41199">
        <w:rPr>
          <w:rFonts w:ascii="Arial" w:hAnsi="Arial" w:cs="Arial"/>
          <w:i/>
        </w:rPr>
        <w:t>Likanyi</w:t>
      </w:r>
      <w:proofErr w:type="spellEnd"/>
      <w:r w:rsidRPr="00A41199">
        <w:rPr>
          <w:rFonts w:ascii="Arial" w:hAnsi="Arial" w:cs="Arial"/>
          <w:i/>
        </w:rPr>
        <w:t xml:space="preserve"> </w:t>
      </w:r>
      <w:r w:rsidRPr="00A41199">
        <w:rPr>
          <w:rFonts w:ascii="Arial" w:hAnsi="Arial" w:cs="Arial"/>
        </w:rPr>
        <w:t>2017 (3) NR 771 (SC) paras 31, 52 and 53.</w:t>
      </w:r>
    </w:p>
  </w:footnote>
  <w:footnote w:id="6">
    <w:p w:rsidR="00E30FAB" w:rsidRPr="00A41199" w:rsidRDefault="00E30FAB" w:rsidP="00A41199">
      <w:pPr>
        <w:pStyle w:val="FootnoteText"/>
        <w:rPr>
          <w:rFonts w:ascii="Arial" w:hAnsi="Arial" w:cs="Arial"/>
        </w:rPr>
      </w:pPr>
      <w:r w:rsidRPr="00A41199">
        <w:rPr>
          <w:rStyle w:val="FootnoteReference"/>
          <w:rFonts w:ascii="Arial" w:hAnsi="Arial" w:cs="Arial"/>
        </w:rPr>
        <w:footnoteRef/>
      </w:r>
      <w:r w:rsidRPr="00A41199">
        <w:rPr>
          <w:rFonts w:ascii="Arial" w:hAnsi="Arial" w:cs="Arial"/>
        </w:rPr>
        <w:t xml:space="preserve"> </w:t>
      </w:r>
      <w:proofErr w:type="spellStart"/>
      <w:r w:rsidRPr="00A41199">
        <w:rPr>
          <w:rFonts w:ascii="Arial" w:hAnsi="Arial" w:cs="Arial"/>
          <w:i/>
        </w:rPr>
        <w:t>Joubert</w:t>
      </w:r>
      <w:proofErr w:type="spellEnd"/>
      <w:r w:rsidRPr="00A41199">
        <w:rPr>
          <w:rFonts w:ascii="Arial" w:hAnsi="Arial" w:cs="Arial"/>
          <w:i/>
        </w:rPr>
        <w:t xml:space="preserve"> &amp; </w:t>
      </w:r>
      <w:r w:rsidR="00264E0D">
        <w:rPr>
          <w:rFonts w:ascii="Arial" w:hAnsi="Arial" w:cs="Arial"/>
          <w:i/>
        </w:rPr>
        <w:t>an</w:t>
      </w:r>
      <w:r w:rsidRPr="00A41199">
        <w:rPr>
          <w:rFonts w:ascii="Arial" w:hAnsi="Arial" w:cs="Arial"/>
          <w:i/>
        </w:rPr>
        <w:t>other v State</w:t>
      </w:r>
      <w:r w:rsidRPr="00A41199">
        <w:rPr>
          <w:rFonts w:ascii="Arial" w:hAnsi="Arial" w:cs="Arial"/>
        </w:rPr>
        <w:t xml:space="preserve"> (SA 53/2021) [2023] NASC (7 December 2023).</w:t>
      </w:r>
    </w:p>
  </w:footnote>
  <w:footnote w:id="7">
    <w:p w:rsidR="00E30FAB" w:rsidRPr="00A41199" w:rsidRDefault="00E30FAB" w:rsidP="00A41199">
      <w:pPr>
        <w:pStyle w:val="FootnoteText"/>
        <w:jc w:val="both"/>
        <w:rPr>
          <w:rFonts w:ascii="Arial" w:hAnsi="Arial" w:cs="Arial"/>
        </w:rPr>
      </w:pPr>
      <w:r w:rsidRPr="00A41199">
        <w:rPr>
          <w:rStyle w:val="FootnoteReference"/>
          <w:rFonts w:ascii="Arial" w:hAnsi="Arial" w:cs="Arial"/>
        </w:rPr>
        <w:footnoteRef/>
      </w:r>
      <w:r w:rsidRPr="00A41199">
        <w:rPr>
          <w:rFonts w:ascii="Arial" w:hAnsi="Arial" w:cs="Arial"/>
        </w:rPr>
        <w:t xml:space="preserve"> In </w:t>
      </w:r>
      <w:proofErr w:type="spellStart"/>
      <w:r w:rsidRPr="00A41199">
        <w:rPr>
          <w:rFonts w:ascii="Arial" w:hAnsi="Arial" w:cs="Arial"/>
          <w:i/>
        </w:rPr>
        <w:t>Hellens</w:t>
      </w:r>
      <w:proofErr w:type="spellEnd"/>
      <w:r w:rsidRPr="00A41199">
        <w:rPr>
          <w:rFonts w:ascii="Arial" w:hAnsi="Arial" w:cs="Arial"/>
        </w:rPr>
        <w:t xml:space="preserve"> the date of the launching of the review application is stated to be 5 May 2020 in para 7 and 5 March 2020 in para 56.</w:t>
      </w:r>
    </w:p>
  </w:footnote>
  <w:footnote w:id="8">
    <w:p w:rsidR="00E30FAB" w:rsidRPr="00A41199" w:rsidRDefault="00E30FAB" w:rsidP="00A41199">
      <w:pPr>
        <w:pStyle w:val="FootnoteText"/>
        <w:jc w:val="both"/>
        <w:rPr>
          <w:rFonts w:ascii="Arial" w:hAnsi="Arial" w:cs="Arial"/>
          <w:lang w:val="en-US"/>
        </w:rPr>
      </w:pPr>
      <w:r w:rsidRPr="00A41199">
        <w:rPr>
          <w:rStyle w:val="FootnoteReference"/>
          <w:rFonts w:ascii="Arial" w:hAnsi="Arial" w:cs="Arial"/>
        </w:rPr>
        <w:footnoteRef/>
      </w:r>
      <w:r w:rsidRPr="00A41199">
        <w:rPr>
          <w:rFonts w:ascii="Arial" w:hAnsi="Arial" w:cs="Arial"/>
        </w:rPr>
        <w:t xml:space="preserve"> </w:t>
      </w:r>
      <w:proofErr w:type="spellStart"/>
      <w:r w:rsidRPr="00A41199">
        <w:rPr>
          <w:rFonts w:ascii="Arial" w:hAnsi="Arial" w:cs="Arial"/>
          <w:i/>
        </w:rPr>
        <w:t>Hellens</w:t>
      </w:r>
      <w:proofErr w:type="spellEnd"/>
      <w:r w:rsidRPr="00A41199">
        <w:rPr>
          <w:rFonts w:ascii="Arial" w:hAnsi="Arial" w:cs="Arial"/>
        </w:rPr>
        <w:t xml:space="preserve"> para 17.</w:t>
      </w:r>
    </w:p>
  </w:footnote>
  <w:footnote w:id="9">
    <w:p w:rsidR="00E30FAB" w:rsidRPr="00A41199" w:rsidRDefault="00E30FAB" w:rsidP="00A41199">
      <w:pPr>
        <w:pStyle w:val="FootnoteText"/>
        <w:jc w:val="both"/>
        <w:rPr>
          <w:rFonts w:ascii="Arial" w:hAnsi="Arial" w:cs="Arial"/>
        </w:rPr>
      </w:pPr>
      <w:r w:rsidRPr="00A41199">
        <w:rPr>
          <w:rStyle w:val="FootnoteReference"/>
          <w:rFonts w:ascii="Arial" w:hAnsi="Arial" w:cs="Arial"/>
        </w:rPr>
        <w:footnoteRef/>
      </w:r>
      <w:r w:rsidRPr="00A41199">
        <w:rPr>
          <w:rFonts w:ascii="Arial" w:hAnsi="Arial" w:cs="Arial"/>
        </w:rPr>
        <w:t xml:space="preserve"> </w:t>
      </w:r>
      <w:r w:rsidRPr="00A41199">
        <w:rPr>
          <w:rFonts w:ascii="Arial" w:hAnsi="Arial" w:cs="Arial"/>
          <w:i/>
        </w:rPr>
        <w:t xml:space="preserve">Liberty Life Association of Africa v </w:t>
      </w:r>
      <w:proofErr w:type="spellStart"/>
      <w:r w:rsidRPr="00A41199">
        <w:rPr>
          <w:rFonts w:ascii="Arial" w:hAnsi="Arial" w:cs="Arial"/>
          <w:i/>
        </w:rPr>
        <w:t>Kachelhoffer</w:t>
      </w:r>
      <w:proofErr w:type="spellEnd"/>
      <w:r w:rsidRPr="00A41199">
        <w:rPr>
          <w:rFonts w:ascii="Arial" w:hAnsi="Arial" w:cs="Arial"/>
          <w:i/>
        </w:rPr>
        <w:t xml:space="preserve"> NO &amp; others</w:t>
      </w:r>
      <w:r w:rsidRPr="00A41199">
        <w:rPr>
          <w:rFonts w:ascii="Arial" w:hAnsi="Arial" w:cs="Arial"/>
        </w:rPr>
        <w:t xml:space="preserve"> 2001 (3) SA 1094 (C) at 1110J-1111C.</w:t>
      </w:r>
    </w:p>
  </w:footnote>
  <w:footnote w:id="10">
    <w:p w:rsidR="00E30FAB" w:rsidRPr="00A41199" w:rsidRDefault="00E30FAB" w:rsidP="00A41199">
      <w:pPr>
        <w:pStyle w:val="FootnoteText"/>
        <w:jc w:val="both"/>
        <w:rPr>
          <w:rFonts w:ascii="Arial" w:hAnsi="Arial" w:cs="Arial"/>
        </w:rPr>
      </w:pPr>
      <w:r w:rsidRPr="00A41199">
        <w:rPr>
          <w:rStyle w:val="FootnoteReference"/>
          <w:rFonts w:ascii="Arial" w:hAnsi="Arial" w:cs="Arial"/>
        </w:rPr>
        <w:footnoteRef/>
      </w:r>
      <w:r w:rsidRPr="00A41199">
        <w:rPr>
          <w:rFonts w:ascii="Arial" w:hAnsi="Arial" w:cs="Arial"/>
        </w:rPr>
        <w:t xml:space="preserve"> </w:t>
      </w:r>
      <w:proofErr w:type="spellStart"/>
      <w:r w:rsidRPr="00A41199">
        <w:rPr>
          <w:rFonts w:ascii="Arial" w:hAnsi="Arial" w:cs="Arial"/>
          <w:i/>
        </w:rPr>
        <w:t>Schroëder</w:t>
      </w:r>
      <w:proofErr w:type="spellEnd"/>
      <w:r w:rsidRPr="00A41199">
        <w:rPr>
          <w:rFonts w:ascii="Arial" w:hAnsi="Arial" w:cs="Arial"/>
          <w:i/>
        </w:rPr>
        <w:t xml:space="preserve"> &amp; another v Solomon &amp; others</w:t>
      </w:r>
      <w:r w:rsidRPr="00A41199">
        <w:rPr>
          <w:rFonts w:ascii="Arial" w:hAnsi="Arial" w:cs="Arial"/>
        </w:rPr>
        <w:t xml:space="preserve"> 2009 (1) NR 1 (SC).</w:t>
      </w:r>
    </w:p>
  </w:footnote>
  <w:footnote w:id="11">
    <w:p w:rsidR="00E30FAB" w:rsidRPr="00A41199" w:rsidRDefault="00E30FAB" w:rsidP="00A41199">
      <w:pPr>
        <w:pStyle w:val="FootnoteText"/>
        <w:jc w:val="both"/>
        <w:rPr>
          <w:rFonts w:ascii="Arial" w:hAnsi="Arial" w:cs="Arial"/>
        </w:rPr>
      </w:pPr>
      <w:r w:rsidRPr="00A41199">
        <w:rPr>
          <w:rStyle w:val="FootnoteReference"/>
          <w:rFonts w:ascii="Arial" w:hAnsi="Arial" w:cs="Arial"/>
        </w:rPr>
        <w:footnoteRef/>
      </w:r>
      <w:r w:rsidRPr="00A41199">
        <w:rPr>
          <w:rFonts w:ascii="Arial" w:hAnsi="Arial" w:cs="Arial"/>
        </w:rPr>
        <w:t xml:space="preserve"> </w:t>
      </w:r>
      <w:proofErr w:type="spellStart"/>
      <w:r w:rsidRPr="00A41199">
        <w:rPr>
          <w:rFonts w:ascii="Arial" w:hAnsi="Arial" w:cs="Arial"/>
          <w:i/>
        </w:rPr>
        <w:t>Hellens</w:t>
      </w:r>
      <w:proofErr w:type="spellEnd"/>
      <w:r w:rsidRPr="00A41199">
        <w:rPr>
          <w:rFonts w:ascii="Arial" w:hAnsi="Arial" w:cs="Arial"/>
        </w:rPr>
        <w:t xml:space="preserve"> para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716349"/>
      <w:docPartObj>
        <w:docPartGallery w:val="Page Numbers (Top of Page)"/>
        <w:docPartUnique/>
      </w:docPartObj>
    </w:sdtPr>
    <w:sdtEndPr>
      <w:rPr>
        <w:noProof/>
      </w:rPr>
    </w:sdtEndPr>
    <w:sdtContent>
      <w:p w:rsidR="00914F2E" w:rsidRDefault="00914F2E">
        <w:pPr>
          <w:pStyle w:val="Header"/>
          <w:jc w:val="right"/>
        </w:pPr>
        <w:r w:rsidRPr="006D2634">
          <w:rPr>
            <w:rFonts w:ascii="Arial" w:hAnsi="Arial" w:cs="Arial"/>
            <w:sz w:val="24"/>
            <w:szCs w:val="24"/>
          </w:rPr>
          <w:fldChar w:fldCharType="begin"/>
        </w:r>
        <w:r w:rsidRPr="006D2634">
          <w:rPr>
            <w:rFonts w:ascii="Arial" w:hAnsi="Arial" w:cs="Arial"/>
            <w:sz w:val="24"/>
            <w:szCs w:val="24"/>
          </w:rPr>
          <w:instrText xml:space="preserve"> PAGE   \* MERGEFORMAT </w:instrText>
        </w:r>
        <w:r w:rsidRPr="006D2634">
          <w:rPr>
            <w:rFonts w:ascii="Arial" w:hAnsi="Arial" w:cs="Arial"/>
            <w:sz w:val="24"/>
            <w:szCs w:val="24"/>
          </w:rPr>
          <w:fldChar w:fldCharType="separate"/>
        </w:r>
        <w:r w:rsidR="00517D95">
          <w:rPr>
            <w:rFonts w:ascii="Arial" w:hAnsi="Arial" w:cs="Arial"/>
            <w:noProof/>
            <w:sz w:val="24"/>
            <w:szCs w:val="24"/>
          </w:rPr>
          <w:t>12</w:t>
        </w:r>
        <w:r w:rsidRPr="006D2634">
          <w:rPr>
            <w:rFonts w:ascii="Arial" w:hAnsi="Arial" w:cs="Arial"/>
            <w:noProof/>
            <w:sz w:val="24"/>
            <w:szCs w:val="24"/>
          </w:rPr>
          <w:fldChar w:fldCharType="end"/>
        </w:r>
      </w:p>
    </w:sdtContent>
  </w:sdt>
  <w:p w:rsidR="00914F2E" w:rsidRDefault="00914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2498F"/>
    <w:multiLevelType w:val="hybridMultilevel"/>
    <w:tmpl w:val="4AB472C4"/>
    <w:lvl w:ilvl="0" w:tplc="2FE4A0D2">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32581D3E"/>
    <w:multiLevelType w:val="hybridMultilevel"/>
    <w:tmpl w:val="34FE5F26"/>
    <w:lvl w:ilvl="0" w:tplc="C08651C8">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A4120C1"/>
    <w:multiLevelType w:val="hybridMultilevel"/>
    <w:tmpl w:val="933AB7D6"/>
    <w:lvl w:ilvl="0" w:tplc="99FE1BD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3B1725B5"/>
    <w:multiLevelType w:val="hybridMultilevel"/>
    <w:tmpl w:val="BB46ED0C"/>
    <w:lvl w:ilvl="0" w:tplc="1C090015">
      <w:start w:val="1"/>
      <w:numFmt w:val="upperLetter"/>
      <w:lvlText w:val="%1."/>
      <w:lvlJc w:val="left"/>
      <w:pPr>
        <w:ind w:left="720" w:hanging="360"/>
      </w:pPr>
      <w:rPr>
        <w:rFonts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D4A050B"/>
    <w:multiLevelType w:val="hybridMultilevel"/>
    <w:tmpl w:val="31561CD8"/>
    <w:lvl w:ilvl="0" w:tplc="2FE4A0D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37E72D7"/>
    <w:multiLevelType w:val="hybridMultilevel"/>
    <w:tmpl w:val="0518A692"/>
    <w:lvl w:ilvl="0" w:tplc="DBD2A0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4E37AA6"/>
    <w:multiLevelType w:val="hybridMultilevel"/>
    <w:tmpl w:val="829E7E82"/>
    <w:lvl w:ilvl="0" w:tplc="90C41D40">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665208E"/>
    <w:multiLevelType w:val="multilevel"/>
    <w:tmpl w:val="65887C62"/>
    <w:lvl w:ilvl="0">
      <w:start w:val="1"/>
      <w:numFmt w:val="decimal"/>
      <w:lvlText w:val="%1."/>
      <w:lvlJc w:val="left"/>
      <w:pPr>
        <w:ind w:left="1080" w:hanging="36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5D99781E"/>
    <w:multiLevelType w:val="hybridMultilevel"/>
    <w:tmpl w:val="6D20FB4C"/>
    <w:lvl w:ilvl="0" w:tplc="73B4627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8"/>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14"/>
    <w:rsid w:val="000023B8"/>
    <w:rsid w:val="0000298E"/>
    <w:rsid w:val="00006E76"/>
    <w:rsid w:val="00006FC7"/>
    <w:rsid w:val="00007686"/>
    <w:rsid w:val="000132E6"/>
    <w:rsid w:val="000150A4"/>
    <w:rsid w:val="000171B8"/>
    <w:rsid w:val="00017B34"/>
    <w:rsid w:val="00024B1A"/>
    <w:rsid w:val="00024C9F"/>
    <w:rsid w:val="00025FCB"/>
    <w:rsid w:val="00026351"/>
    <w:rsid w:val="00027F60"/>
    <w:rsid w:val="000306A3"/>
    <w:rsid w:val="000311F1"/>
    <w:rsid w:val="00033360"/>
    <w:rsid w:val="0003519A"/>
    <w:rsid w:val="00035583"/>
    <w:rsid w:val="00035654"/>
    <w:rsid w:val="000363B7"/>
    <w:rsid w:val="000414D2"/>
    <w:rsid w:val="00042C0A"/>
    <w:rsid w:val="00043839"/>
    <w:rsid w:val="000450CA"/>
    <w:rsid w:val="000452C6"/>
    <w:rsid w:val="000460AF"/>
    <w:rsid w:val="00050DAD"/>
    <w:rsid w:val="00051ACE"/>
    <w:rsid w:val="0005477E"/>
    <w:rsid w:val="00055327"/>
    <w:rsid w:val="00055679"/>
    <w:rsid w:val="00055BAA"/>
    <w:rsid w:val="0005660B"/>
    <w:rsid w:val="00056CF0"/>
    <w:rsid w:val="00057200"/>
    <w:rsid w:val="0005758D"/>
    <w:rsid w:val="00063333"/>
    <w:rsid w:val="00064A2C"/>
    <w:rsid w:val="0006534A"/>
    <w:rsid w:val="00065A6C"/>
    <w:rsid w:val="00066EEB"/>
    <w:rsid w:val="00072EC0"/>
    <w:rsid w:val="00073871"/>
    <w:rsid w:val="00073EBA"/>
    <w:rsid w:val="00074147"/>
    <w:rsid w:val="00075A8A"/>
    <w:rsid w:val="00077CBD"/>
    <w:rsid w:val="000819D6"/>
    <w:rsid w:val="00082038"/>
    <w:rsid w:val="0008437C"/>
    <w:rsid w:val="00086394"/>
    <w:rsid w:val="0008789D"/>
    <w:rsid w:val="000914C8"/>
    <w:rsid w:val="00091C2B"/>
    <w:rsid w:val="00093601"/>
    <w:rsid w:val="00095275"/>
    <w:rsid w:val="00096A59"/>
    <w:rsid w:val="00097BD7"/>
    <w:rsid w:val="000A29C1"/>
    <w:rsid w:val="000A32A9"/>
    <w:rsid w:val="000A353D"/>
    <w:rsid w:val="000A36E2"/>
    <w:rsid w:val="000A3D49"/>
    <w:rsid w:val="000B0E74"/>
    <w:rsid w:val="000B284A"/>
    <w:rsid w:val="000B31BC"/>
    <w:rsid w:val="000B3F37"/>
    <w:rsid w:val="000B53B1"/>
    <w:rsid w:val="000B7B1C"/>
    <w:rsid w:val="000C0505"/>
    <w:rsid w:val="000C0563"/>
    <w:rsid w:val="000C0629"/>
    <w:rsid w:val="000C337F"/>
    <w:rsid w:val="000D0484"/>
    <w:rsid w:val="000D1ACA"/>
    <w:rsid w:val="000D21E7"/>
    <w:rsid w:val="000D4F3C"/>
    <w:rsid w:val="000D618E"/>
    <w:rsid w:val="000E1B7D"/>
    <w:rsid w:val="000E5574"/>
    <w:rsid w:val="000E5B84"/>
    <w:rsid w:val="000E6967"/>
    <w:rsid w:val="000F05CB"/>
    <w:rsid w:val="000F2294"/>
    <w:rsid w:val="000F2FEE"/>
    <w:rsid w:val="000F3925"/>
    <w:rsid w:val="000F5E7B"/>
    <w:rsid w:val="000F6A17"/>
    <w:rsid w:val="000F6ACA"/>
    <w:rsid w:val="000F7252"/>
    <w:rsid w:val="000F77AD"/>
    <w:rsid w:val="00100372"/>
    <w:rsid w:val="00102035"/>
    <w:rsid w:val="001039A3"/>
    <w:rsid w:val="00110B43"/>
    <w:rsid w:val="0011373C"/>
    <w:rsid w:val="00116B9C"/>
    <w:rsid w:val="00117248"/>
    <w:rsid w:val="00121D36"/>
    <w:rsid w:val="00124372"/>
    <w:rsid w:val="001256B7"/>
    <w:rsid w:val="00125EC2"/>
    <w:rsid w:val="00132A30"/>
    <w:rsid w:val="0013469B"/>
    <w:rsid w:val="00135039"/>
    <w:rsid w:val="0013580D"/>
    <w:rsid w:val="00136C81"/>
    <w:rsid w:val="00136CA9"/>
    <w:rsid w:val="00141733"/>
    <w:rsid w:val="00142EF5"/>
    <w:rsid w:val="001442B3"/>
    <w:rsid w:val="0014451A"/>
    <w:rsid w:val="00145270"/>
    <w:rsid w:val="001472E5"/>
    <w:rsid w:val="00150670"/>
    <w:rsid w:val="00150EC1"/>
    <w:rsid w:val="001519C4"/>
    <w:rsid w:val="00151A72"/>
    <w:rsid w:val="00151D86"/>
    <w:rsid w:val="00154AF2"/>
    <w:rsid w:val="00154CE1"/>
    <w:rsid w:val="001563B0"/>
    <w:rsid w:val="001572D5"/>
    <w:rsid w:val="00157523"/>
    <w:rsid w:val="00157CD4"/>
    <w:rsid w:val="00157E5E"/>
    <w:rsid w:val="001609BB"/>
    <w:rsid w:val="00160B20"/>
    <w:rsid w:val="00165EDD"/>
    <w:rsid w:val="00166AC9"/>
    <w:rsid w:val="00166DA1"/>
    <w:rsid w:val="00167E25"/>
    <w:rsid w:val="00174085"/>
    <w:rsid w:val="001759CD"/>
    <w:rsid w:val="001769E2"/>
    <w:rsid w:val="00177E8F"/>
    <w:rsid w:val="00181085"/>
    <w:rsid w:val="0018166A"/>
    <w:rsid w:val="00181D04"/>
    <w:rsid w:val="00183D8E"/>
    <w:rsid w:val="00183F8D"/>
    <w:rsid w:val="001851EA"/>
    <w:rsid w:val="00185DDC"/>
    <w:rsid w:val="00186834"/>
    <w:rsid w:val="00186B63"/>
    <w:rsid w:val="00187757"/>
    <w:rsid w:val="00187CE4"/>
    <w:rsid w:val="00190768"/>
    <w:rsid w:val="00191268"/>
    <w:rsid w:val="00192124"/>
    <w:rsid w:val="00193019"/>
    <w:rsid w:val="00193B83"/>
    <w:rsid w:val="00194A5B"/>
    <w:rsid w:val="00194D1B"/>
    <w:rsid w:val="0019708F"/>
    <w:rsid w:val="001974BF"/>
    <w:rsid w:val="001A0778"/>
    <w:rsid w:val="001A1BF2"/>
    <w:rsid w:val="001A20AC"/>
    <w:rsid w:val="001A5377"/>
    <w:rsid w:val="001A6FC0"/>
    <w:rsid w:val="001A7F12"/>
    <w:rsid w:val="001A7F41"/>
    <w:rsid w:val="001B03EC"/>
    <w:rsid w:val="001B054D"/>
    <w:rsid w:val="001B0C2E"/>
    <w:rsid w:val="001B1F92"/>
    <w:rsid w:val="001B3B1C"/>
    <w:rsid w:val="001B727A"/>
    <w:rsid w:val="001B746D"/>
    <w:rsid w:val="001C00ED"/>
    <w:rsid w:val="001C17FB"/>
    <w:rsid w:val="001C25F4"/>
    <w:rsid w:val="001C32E4"/>
    <w:rsid w:val="001C57DA"/>
    <w:rsid w:val="001C7B9E"/>
    <w:rsid w:val="001D09EC"/>
    <w:rsid w:val="001D1F26"/>
    <w:rsid w:val="001D3696"/>
    <w:rsid w:val="001D4B89"/>
    <w:rsid w:val="001D6E68"/>
    <w:rsid w:val="001D70DB"/>
    <w:rsid w:val="001D7ADD"/>
    <w:rsid w:val="001D7F84"/>
    <w:rsid w:val="001E0F31"/>
    <w:rsid w:val="001E1F34"/>
    <w:rsid w:val="001E20C0"/>
    <w:rsid w:val="001E4DD8"/>
    <w:rsid w:val="001E6FE1"/>
    <w:rsid w:val="001F0371"/>
    <w:rsid w:val="001F2325"/>
    <w:rsid w:val="001F28B2"/>
    <w:rsid w:val="001F558C"/>
    <w:rsid w:val="001F612B"/>
    <w:rsid w:val="001F614B"/>
    <w:rsid w:val="001F6370"/>
    <w:rsid w:val="001F6553"/>
    <w:rsid w:val="001F748F"/>
    <w:rsid w:val="00200481"/>
    <w:rsid w:val="00200646"/>
    <w:rsid w:val="0020447F"/>
    <w:rsid w:val="00205A50"/>
    <w:rsid w:val="0020615C"/>
    <w:rsid w:val="00206D74"/>
    <w:rsid w:val="00213565"/>
    <w:rsid w:val="00213DC4"/>
    <w:rsid w:val="0021415E"/>
    <w:rsid w:val="00214382"/>
    <w:rsid w:val="00214EC2"/>
    <w:rsid w:val="0021760C"/>
    <w:rsid w:val="0021766B"/>
    <w:rsid w:val="00217E5E"/>
    <w:rsid w:val="00220E4D"/>
    <w:rsid w:val="00222B76"/>
    <w:rsid w:val="00223128"/>
    <w:rsid w:val="0022387E"/>
    <w:rsid w:val="00223FE1"/>
    <w:rsid w:val="002252C9"/>
    <w:rsid w:val="00226091"/>
    <w:rsid w:val="00226210"/>
    <w:rsid w:val="00230AD1"/>
    <w:rsid w:val="002310A2"/>
    <w:rsid w:val="0023129A"/>
    <w:rsid w:val="002322DB"/>
    <w:rsid w:val="002342AF"/>
    <w:rsid w:val="002353F3"/>
    <w:rsid w:val="0023540B"/>
    <w:rsid w:val="00235498"/>
    <w:rsid w:val="0023643E"/>
    <w:rsid w:val="00236F54"/>
    <w:rsid w:val="002400CC"/>
    <w:rsid w:val="002411A3"/>
    <w:rsid w:val="00241310"/>
    <w:rsid w:val="002420B5"/>
    <w:rsid w:val="00244026"/>
    <w:rsid w:val="0024408F"/>
    <w:rsid w:val="00245C49"/>
    <w:rsid w:val="00247DD5"/>
    <w:rsid w:val="00252C79"/>
    <w:rsid w:val="0025602B"/>
    <w:rsid w:val="002560C8"/>
    <w:rsid w:val="002570AD"/>
    <w:rsid w:val="002624CE"/>
    <w:rsid w:val="00263C64"/>
    <w:rsid w:val="00264016"/>
    <w:rsid w:val="00264057"/>
    <w:rsid w:val="00264E0D"/>
    <w:rsid w:val="00265673"/>
    <w:rsid w:val="00266780"/>
    <w:rsid w:val="0026720B"/>
    <w:rsid w:val="002676D4"/>
    <w:rsid w:val="00270297"/>
    <w:rsid w:val="00270748"/>
    <w:rsid w:val="00272599"/>
    <w:rsid w:val="00274C80"/>
    <w:rsid w:val="00276236"/>
    <w:rsid w:val="0027751E"/>
    <w:rsid w:val="00277E2D"/>
    <w:rsid w:val="002808E8"/>
    <w:rsid w:val="00280C4D"/>
    <w:rsid w:val="0028268C"/>
    <w:rsid w:val="0028319B"/>
    <w:rsid w:val="00283C9B"/>
    <w:rsid w:val="00284142"/>
    <w:rsid w:val="00284DBC"/>
    <w:rsid w:val="002854ED"/>
    <w:rsid w:val="00285D1C"/>
    <w:rsid w:val="00287B3F"/>
    <w:rsid w:val="00290B0F"/>
    <w:rsid w:val="00292DF3"/>
    <w:rsid w:val="002933D0"/>
    <w:rsid w:val="00294945"/>
    <w:rsid w:val="00296579"/>
    <w:rsid w:val="00296580"/>
    <w:rsid w:val="00296FAF"/>
    <w:rsid w:val="002A022C"/>
    <w:rsid w:val="002A0256"/>
    <w:rsid w:val="002A1A57"/>
    <w:rsid w:val="002A1F5A"/>
    <w:rsid w:val="002A2D1A"/>
    <w:rsid w:val="002A7F2F"/>
    <w:rsid w:val="002B017E"/>
    <w:rsid w:val="002B01EB"/>
    <w:rsid w:val="002B020D"/>
    <w:rsid w:val="002B0476"/>
    <w:rsid w:val="002B07D1"/>
    <w:rsid w:val="002B1065"/>
    <w:rsid w:val="002B17BC"/>
    <w:rsid w:val="002B29C5"/>
    <w:rsid w:val="002B3FA1"/>
    <w:rsid w:val="002B51A3"/>
    <w:rsid w:val="002B6B49"/>
    <w:rsid w:val="002B6F24"/>
    <w:rsid w:val="002B7313"/>
    <w:rsid w:val="002C10ED"/>
    <w:rsid w:val="002C23C2"/>
    <w:rsid w:val="002C2F3D"/>
    <w:rsid w:val="002C33D7"/>
    <w:rsid w:val="002C3717"/>
    <w:rsid w:val="002C415C"/>
    <w:rsid w:val="002C4956"/>
    <w:rsid w:val="002D008F"/>
    <w:rsid w:val="002D0A51"/>
    <w:rsid w:val="002D2AC1"/>
    <w:rsid w:val="002D45C9"/>
    <w:rsid w:val="002D5F4F"/>
    <w:rsid w:val="002D6FAA"/>
    <w:rsid w:val="002E4434"/>
    <w:rsid w:val="002E5B12"/>
    <w:rsid w:val="002E6149"/>
    <w:rsid w:val="002F0DB6"/>
    <w:rsid w:val="002F108C"/>
    <w:rsid w:val="002F2ABA"/>
    <w:rsid w:val="002F3206"/>
    <w:rsid w:val="002F3FEE"/>
    <w:rsid w:val="002F7141"/>
    <w:rsid w:val="002F7BD0"/>
    <w:rsid w:val="0030003A"/>
    <w:rsid w:val="003011D0"/>
    <w:rsid w:val="0030203B"/>
    <w:rsid w:val="00303CD8"/>
    <w:rsid w:val="00304B20"/>
    <w:rsid w:val="00305CA5"/>
    <w:rsid w:val="00305E98"/>
    <w:rsid w:val="00307A6E"/>
    <w:rsid w:val="00307E45"/>
    <w:rsid w:val="00310C9B"/>
    <w:rsid w:val="003113A4"/>
    <w:rsid w:val="003118F5"/>
    <w:rsid w:val="00314461"/>
    <w:rsid w:val="00315175"/>
    <w:rsid w:val="00315980"/>
    <w:rsid w:val="0031687F"/>
    <w:rsid w:val="00321013"/>
    <w:rsid w:val="00321B44"/>
    <w:rsid w:val="003239E9"/>
    <w:rsid w:val="0032633F"/>
    <w:rsid w:val="00327016"/>
    <w:rsid w:val="003279F7"/>
    <w:rsid w:val="0033235D"/>
    <w:rsid w:val="003328D4"/>
    <w:rsid w:val="00332EB7"/>
    <w:rsid w:val="003334D2"/>
    <w:rsid w:val="00336079"/>
    <w:rsid w:val="00336B25"/>
    <w:rsid w:val="00342BD9"/>
    <w:rsid w:val="003434BF"/>
    <w:rsid w:val="00343738"/>
    <w:rsid w:val="00344F5E"/>
    <w:rsid w:val="0034504C"/>
    <w:rsid w:val="003457AC"/>
    <w:rsid w:val="00346264"/>
    <w:rsid w:val="00346F00"/>
    <w:rsid w:val="0034787E"/>
    <w:rsid w:val="00352185"/>
    <w:rsid w:val="0035248B"/>
    <w:rsid w:val="0035400F"/>
    <w:rsid w:val="00357100"/>
    <w:rsid w:val="0036053A"/>
    <w:rsid w:val="00363644"/>
    <w:rsid w:val="003639FC"/>
    <w:rsid w:val="00363D8D"/>
    <w:rsid w:val="003641B7"/>
    <w:rsid w:val="0036425A"/>
    <w:rsid w:val="00365A96"/>
    <w:rsid w:val="0036634A"/>
    <w:rsid w:val="0036731B"/>
    <w:rsid w:val="00371CAF"/>
    <w:rsid w:val="0037211B"/>
    <w:rsid w:val="00372B31"/>
    <w:rsid w:val="0037307E"/>
    <w:rsid w:val="00373305"/>
    <w:rsid w:val="0037387E"/>
    <w:rsid w:val="00373D90"/>
    <w:rsid w:val="00374046"/>
    <w:rsid w:val="00375EF3"/>
    <w:rsid w:val="003814B1"/>
    <w:rsid w:val="003847D8"/>
    <w:rsid w:val="0038515F"/>
    <w:rsid w:val="00386145"/>
    <w:rsid w:val="003907A0"/>
    <w:rsid w:val="0039137C"/>
    <w:rsid w:val="00391804"/>
    <w:rsid w:val="00392F78"/>
    <w:rsid w:val="003930BD"/>
    <w:rsid w:val="00394B20"/>
    <w:rsid w:val="00395CEE"/>
    <w:rsid w:val="003961FE"/>
    <w:rsid w:val="00396271"/>
    <w:rsid w:val="00396AF3"/>
    <w:rsid w:val="003A019F"/>
    <w:rsid w:val="003A0B8B"/>
    <w:rsid w:val="003A2723"/>
    <w:rsid w:val="003A566B"/>
    <w:rsid w:val="003B0970"/>
    <w:rsid w:val="003B28DE"/>
    <w:rsid w:val="003B4D8F"/>
    <w:rsid w:val="003B6978"/>
    <w:rsid w:val="003C00D4"/>
    <w:rsid w:val="003C0F07"/>
    <w:rsid w:val="003C12BA"/>
    <w:rsid w:val="003C265D"/>
    <w:rsid w:val="003C2DB3"/>
    <w:rsid w:val="003C2F8E"/>
    <w:rsid w:val="003C31E8"/>
    <w:rsid w:val="003C3530"/>
    <w:rsid w:val="003C357B"/>
    <w:rsid w:val="003C35FC"/>
    <w:rsid w:val="003C3C3C"/>
    <w:rsid w:val="003C40C3"/>
    <w:rsid w:val="003C497D"/>
    <w:rsid w:val="003C5C42"/>
    <w:rsid w:val="003C6C48"/>
    <w:rsid w:val="003D1EC4"/>
    <w:rsid w:val="003D35DF"/>
    <w:rsid w:val="003D36CB"/>
    <w:rsid w:val="003D415E"/>
    <w:rsid w:val="003D5EEB"/>
    <w:rsid w:val="003D7627"/>
    <w:rsid w:val="003D7E39"/>
    <w:rsid w:val="003E1677"/>
    <w:rsid w:val="003E2016"/>
    <w:rsid w:val="003E36D0"/>
    <w:rsid w:val="003E4B44"/>
    <w:rsid w:val="003E5CCD"/>
    <w:rsid w:val="003E6A76"/>
    <w:rsid w:val="003E6A95"/>
    <w:rsid w:val="003E6D1A"/>
    <w:rsid w:val="003F0668"/>
    <w:rsid w:val="003F0DE9"/>
    <w:rsid w:val="003F2AF0"/>
    <w:rsid w:val="003F5D73"/>
    <w:rsid w:val="003F70F7"/>
    <w:rsid w:val="003F7D6A"/>
    <w:rsid w:val="003F7F32"/>
    <w:rsid w:val="00400D57"/>
    <w:rsid w:val="00401118"/>
    <w:rsid w:val="00402303"/>
    <w:rsid w:val="00402431"/>
    <w:rsid w:val="00404444"/>
    <w:rsid w:val="0040479F"/>
    <w:rsid w:val="00406BDD"/>
    <w:rsid w:val="0040797D"/>
    <w:rsid w:val="00411A9A"/>
    <w:rsid w:val="00412EFB"/>
    <w:rsid w:val="00413ED5"/>
    <w:rsid w:val="004144AF"/>
    <w:rsid w:val="004144C6"/>
    <w:rsid w:val="00414CC6"/>
    <w:rsid w:val="00415CE6"/>
    <w:rsid w:val="00416747"/>
    <w:rsid w:val="004203B8"/>
    <w:rsid w:val="0042071A"/>
    <w:rsid w:val="0042095B"/>
    <w:rsid w:val="00421DE3"/>
    <w:rsid w:val="004232C5"/>
    <w:rsid w:val="00424540"/>
    <w:rsid w:val="004254F9"/>
    <w:rsid w:val="00426966"/>
    <w:rsid w:val="00431A20"/>
    <w:rsid w:val="00431E10"/>
    <w:rsid w:val="00434E38"/>
    <w:rsid w:val="00436518"/>
    <w:rsid w:val="004404F1"/>
    <w:rsid w:val="00444077"/>
    <w:rsid w:val="0044414E"/>
    <w:rsid w:val="00446541"/>
    <w:rsid w:val="00446E14"/>
    <w:rsid w:val="004503AE"/>
    <w:rsid w:val="004507D3"/>
    <w:rsid w:val="0045292F"/>
    <w:rsid w:val="00453DFD"/>
    <w:rsid w:val="00454C63"/>
    <w:rsid w:val="00454E43"/>
    <w:rsid w:val="00455450"/>
    <w:rsid w:val="0045631C"/>
    <w:rsid w:val="00460C7E"/>
    <w:rsid w:val="00463B4C"/>
    <w:rsid w:val="004659E3"/>
    <w:rsid w:val="00467339"/>
    <w:rsid w:val="00470CB4"/>
    <w:rsid w:val="00472448"/>
    <w:rsid w:val="00473398"/>
    <w:rsid w:val="00476B85"/>
    <w:rsid w:val="004775C5"/>
    <w:rsid w:val="004814AF"/>
    <w:rsid w:val="004820CE"/>
    <w:rsid w:val="004822C7"/>
    <w:rsid w:val="00483A80"/>
    <w:rsid w:val="00484985"/>
    <w:rsid w:val="00484D6C"/>
    <w:rsid w:val="00486930"/>
    <w:rsid w:val="0048770D"/>
    <w:rsid w:val="00487C07"/>
    <w:rsid w:val="0049024E"/>
    <w:rsid w:val="00490602"/>
    <w:rsid w:val="00490D27"/>
    <w:rsid w:val="00490FE0"/>
    <w:rsid w:val="00493499"/>
    <w:rsid w:val="00496C1B"/>
    <w:rsid w:val="004A0129"/>
    <w:rsid w:val="004A1AFF"/>
    <w:rsid w:val="004A2006"/>
    <w:rsid w:val="004A308B"/>
    <w:rsid w:val="004A3589"/>
    <w:rsid w:val="004A4B7B"/>
    <w:rsid w:val="004A59BF"/>
    <w:rsid w:val="004A6FE3"/>
    <w:rsid w:val="004A70A3"/>
    <w:rsid w:val="004B0187"/>
    <w:rsid w:val="004B13E6"/>
    <w:rsid w:val="004B1684"/>
    <w:rsid w:val="004B254B"/>
    <w:rsid w:val="004B2B53"/>
    <w:rsid w:val="004B71B6"/>
    <w:rsid w:val="004C0FDD"/>
    <w:rsid w:val="004C2E9A"/>
    <w:rsid w:val="004C3C33"/>
    <w:rsid w:val="004C413C"/>
    <w:rsid w:val="004C45C8"/>
    <w:rsid w:val="004C6212"/>
    <w:rsid w:val="004C7F2F"/>
    <w:rsid w:val="004D0EE7"/>
    <w:rsid w:val="004D3F5D"/>
    <w:rsid w:val="004D4473"/>
    <w:rsid w:val="004D4D5E"/>
    <w:rsid w:val="004D555D"/>
    <w:rsid w:val="004D7625"/>
    <w:rsid w:val="004E292B"/>
    <w:rsid w:val="004E425A"/>
    <w:rsid w:val="004E5ADA"/>
    <w:rsid w:val="004E66BD"/>
    <w:rsid w:val="004F1680"/>
    <w:rsid w:val="004F1BF6"/>
    <w:rsid w:val="004F3561"/>
    <w:rsid w:val="004F3CCC"/>
    <w:rsid w:val="004F7835"/>
    <w:rsid w:val="004F7A8A"/>
    <w:rsid w:val="0050063D"/>
    <w:rsid w:val="00501476"/>
    <w:rsid w:val="005020A9"/>
    <w:rsid w:val="005025B3"/>
    <w:rsid w:val="0050527D"/>
    <w:rsid w:val="00512EB8"/>
    <w:rsid w:val="00513801"/>
    <w:rsid w:val="00515DBE"/>
    <w:rsid w:val="005168BC"/>
    <w:rsid w:val="00517D95"/>
    <w:rsid w:val="00523A62"/>
    <w:rsid w:val="005247BA"/>
    <w:rsid w:val="005266D5"/>
    <w:rsid w:val="00530181"/>
    <w:rsid w:val="005301EF"/>
    <w:rsid w:val="0053030B"/>
    <w:rsid w:val="00530C88"/>
    <w:rsid w:val="00531B58"/>
    <w:rsid w:val="00531EBF"/>
    <w:rsid w:val="00532DBD"/>
    <w:rsid w:val="00535689"/>
    <w:rsid w:val="00536435"/>
    <w:rsid w:val="00536C7B"/>
    <w:rsid w:val="00537957"/>
    <w:rsid w:val="005406FB"/>
    <w:rsid w:val="005410DA"/>
    <w:rsid w:val="00541525"/>
    <w:rsid w:val="00541B26"/>
    <w:rsid w:val="005426AD"/>
    <w:rsid w:val="0054296F"/>
    <w:rsid w:val="00543FFA"/>
    <w:rsid w:val="005444F8"/>
    <w:rsid w:val="00544820"/>
    <w:rsid w:val="00546002"/>
    <w:rsid w:val="00547457"/>
    <w:rsid w:val="005516A2"/>
    <w:rsid w:val="00551AEF"/>
    <w:rsid w:val="00552641"/>
    <w:rsid w:val="00553027"/>
    <w:rsid w:val="00553EC0"/>
    <w:rsid w:val="00555FB3"/>
    <w:rsid w:val="005606D2"/>
    <w:rsid w:val="00561334"/>
    <w:rsid w:val="0056169F"/>
    <w:rsid w:val="005708C8"/>
    <w:rsid w:val="0057205B"/>
    <w:rsid w:val="0057535B"/>
    <w:rsid w:val="00575F10"/>
    <w:rsid w:val="00576893"/>
    <w:rsid w:val="0057783B"/>
    <w:rsid w:val="00577B0C"/>
    <w:rsid w:val="00580DE7"/>
    <w:rsid w:val="00582714"/>
    <w:rsid w:val="0058301C"/>
    <w:rsid w:val="00583341"/>
    <w:rsid w:val="00583625"/>
    <w:rsid w:val="0058406B"/>
    <w:rsid w:val="005841EF"/>
    <w:rsid w:val="005843EA"/>
    <w:rsid w:val="00584858"/>
    <w:rsid w:val="00584BE9"/>
    <w:rsid w:val="00584C01"/>
    <w:rsid w:val="0058510D"/>
    <w:rsid w:val="0058586E"/>
    <w:rsid w:val="0058621E"/>
    <w:rsid w:val="005862B8"/>
    <w:rsid w:val="00587B01"/>
    <w:rsid w:val="00587E7D"/>
    <w:rsid w:val="005941CB"/>
    <w:rsid w:val="00594D7C"/>
    <w:rsid w:val="00597800"/>
    <w:rsid w:val="00597C12"/>
    <w:rsid w:val="005A0332"/>
    <w:rsid w:val="005A12C1"/>
    <w:rsid w:val="005A2F1C"/>
    <w:rsid w:val="005A4756"/>
    <w:rsid w:val="005A4EBF"/>
    <w:rsid w:val="005A5084"/>
    <w:rsid w:val="005A59AE"/>
    <w:rsid w:val="005A5FB9"/>
    <w:rsid w:val="005A6EC4"/>
    <w:rsid w:val="005A7289"/>
    <w:rsid w:val="005B121A"/>
    <w:rsid w:val="005B270F"/>
    <w:rsid w:val="005B6C3E"/>
    <w:rsid w:val="005B72FD"/>
    <w:rsid w:val="005B7600"/>
    <w:rsid w:val="005C0AC6"/>
    <w:rsid w:val="005C0AF7"/>
    <w:rsid w:val="005C14E3"/>
    <w:rsid w:val="005C18C1"/>
    <w:rsid w:val="005C1F39"/>
    <w:rsid w:val="005C3B9F"/>
    <w:rsid w:val="005C560B"/>
    <w:rsid w:val="005C6006"/>
    <w:rsid w:val="005C607D"/>
    <w:rsid w:val="005C65DD"/>
    <w:rsid w:val="005C71A2"/>
    <w:rsid w:val="005C766D"/>
    <w:rsid w:val="005D1A94"/>
    <w:rsid w:val="005D2A29"/>
    <w:rsid w:val="005D3D40"/>
    <w:rsid w:val="005D4FE0"/>
    <w:rsid w:val="005D556D"/>
    <w:rsid w:val="005D6A08"/>
    <w:rsid w:val="005D787B"/>
    <w:rsid w:val="005E46C7"/>
    <w:rsid w:val="005E5BB8"/>
    <w:rsid w:val="005F1952"/>
    <w:rsid w:val="005F3374"/>
    <w:rsid w:val="005F367D"/>
    <w:rsid w:val="005F56B6"/>
    <w:rsid w:val="005F57DD"/>
    <w:rsid w:val="005F740A"/>
    <w:rsid w:val="005F7B46"/>
    <w:rsid w:val="00601681"/>
    <w:rsid w:val="00603FA9"/>
    <w:rsid w:val="006066AA"/>
    <w:rsid w:val="006066DF"/>
    <w:rsid w:val="00607EBD"/>
    <w:rsid w:val="00610F2F"/>
    <w:rsid w:val="006243D3"/>
    <w:rsid w:val="00624E50"/>
    <w:rsid w:val="00625E04"/>
    <w:rsid w:val="00625F79"/>
    <w:rsid w:val="0062674B"/>
    <w:rsid w:val="00627CD2"/>
    <w:rsid w:val="00630626"/>
    <w:rsid w:val="00630E92"/>
    <w:rsid w:val="00631DC0"/>
    <w:rsid w:val="00634E9E"/>
    <w:rsid w:val="00640580"/>
    <w:rsid w:val="00642855"/>
    <w:rsid w:val="00643E52"/>
    <w:rsid w:val="006440F7"/>
    <w:rsid w:val="0064425F"/>
    <w:rsid w:val="00644A25"/>
    <w:rsid w:val="0064526A"/>
    <w:rsid w:val="0064626B"/>
    <w:rsid w:val="00650D85"/>
    <w:rsid w:val="00652C2E"/>
    <w:rsid w:val="00653663"/>
    <w:rsid w:val="00653BA7"/>
    <w:rsid w:val="00654449"/>
    <w:rsid w:val="00657430"/>
    <w:rsid w:val="00661DAF"/>
    <w:rsid w:val="00665D69"/>
    <w:rsid w:val="006662D3"/>
    <w:rsid w:val="00666CFA"/>
    <w:rsid w:val="00666E99"/>
    <w:rsid w:val="00670ECB"/>
    <w:rsid w:val="006734DA"/>
    <w:rsid w:val="00673FCC"/>
    <w:rsid w:val="0067492F"/>
    <w:rsid w:val="0067539F"/>
    <w:rsid w:val="00675EA5"/>
    <w:rsid w:val="00675F90"/>
    <w:rsid w:val="00677AE7"/>
    <w:rsid w:val="00677AF1"/>
    <w:rsid w:val="00680F33"/>
    <w:rsid w:val="0068171A"/>
    <w:rsid w:val="00684027"/>
    <w:rsid w:val="00684662"/>
    <w:rsid w:val="00685A46"/>
    <w:rsid w:val="00685E02"/>
    <w:rsid w:val="00687450"/>
    <w:rsid w:val="006905EA"/>
    <w:rsid w:val="0069083B"/>
    <w:rsid w:val="0069093A"/>
    <w:rsid w:val="00692358"/>
    <w:rsid w:val="006A0C0A"/>
    <w:rsid w:val="006A2BFC"/>
    <w:rsid w:val="006B2525"/>
    <w:rsid w:val="006B2550"/>
    <w:rsid w:val="006B5C9E"/>
    <w:rsid w:val="006B6155"/>
    <w:rsid w:val="006B642F"/>
    <w:rsid w:val="006B7332"/>
    <w:rsid w:val="006C1113"/>
    <w:rsid w:val="006C14F1"/>
    <w:rsid w:val="006C193E"/>
    <w:rsid w:val="006C1ABD"/>
    <w:rsid w:val="006C2F22"/>
    <w:rsid w:val="006C2FE8"/>
    <w:rsid w:val="006C3B06"/>
    <w:rsid w:val="006C4215"/>
    <w:rsid w:val="006C5CF4"/>
    <w:rsid w:val="006C7A61"/>
    <w:rsid w:val="006D0373"/>
    <w:rsid w:val="006D1D7C"/>
    <w:rsid w:val="006D239D"/>
    <w:rsid w:val="006D2634"/>
    <w:rsid w:val="006D4618"/>
    <w:rsid w:val="006D59A1"/>
    <w:rsid w:val="006D7C2D"/>
    <w:rsid w:val="006E0293"/>
    <w:rsid w:val="006E0719"/>
    <w:rsid w:val="006E458A"/>
    <w:rsid w:val="006E4E9D"/>
    <w:rsid w:val="006E5313"/>
    <w:rsid w:val="006E657C"/>
    <w:rsid w:val="006E6ECB"/>
    <w:rsid w:val="006F18CD"/>
    <w:rsid w:val="006F2B26"/>
    <w:rsid w:val="006F46C6"/>
    <w:rsid w:val="006F5825"/>
    <w:rsid w:val="006F59EA"/>
    <w:rsid w:val="006F78AE"/>
    <w:rsid w:val="006F7DF8"/>
    <w:rsid w:val="0070116F"/>
    <w:rsid w:val="00701612"/>
    <w:rsid w:val="00702243"/>
    <w:rsid w:val="00702255"/>
    <w:rsid w:val="00702D1D"/>
    <w:rsid w:val="00702E39"/>
    <w:rsid w:val="00702F44"/>
    <w:rsid w:val="00703B64"/>
    <w:rsid w:val="00704B34"/>
    <w:rsid w:val="007056DC"/>
    <w:rsid w:val="007058CA"/>
    <w:rsid w:val="00705C69"/>
    <w:rsid w:val="0070613C"/>
    <w:rsid w:val="007068B6"/>
    <w:rsid w:val="00706AE3"/>
    <w:rsid w:val="00707693"/>
    <w:rsid w:val="007076AB"/>
    <w:rsid w:val="00710E6A"/>
    <w:rsid w:val="00714132"/>
    <w:rsid w:val="00714340"/>
    <w:rsid w:val="00714DAF"/>
    <w:rsid w:val="007150BB"/>
    <w:rsid w:val="00715302"/>
    <w:rsid w:val="0071540F"/>
    <w:rsid w:val="00723D47"/>
    <w:rsid w:val="007265CA"/>
    <w:rsid w:val="00727337"/>
    <w:rsid w:val="00731D6A"/>
    <w:rsid w:val="00733CFA"/>
    <w:rsid w:val="007358DB"/>
    <w:rsid w:val="00735C3B"/>
    <w:rsid w:val="007412B5"/>
    <w:rsid w:val="00742C89"/>
    <w:rsid w:val="007506AA"/>
    <w:rsid w:val="007506F3"/>
    <w:rsid w:val="00750754"/>
    <w:rsid w:val="007515F6"/>
    <w:rsid w:val="0075252C"/>
    <w:rsid w:val="0075255B"/>
    <w:rsid w:val="00752EE4"/>
    <w:rsid w:val="00757200"/>
    <w:rsid w:val="007573F1"/>
    <w:rsid w:val="00760D4C"/>
    <w:rsid w:val="00760E39"/>
    <w:rsid w:val="00760E4D"/>
    <w:rsid w:val="00760F9A"/>
    <w:rsid w:val="00762262"/>
    <w:rsid w:val="0076367D"/>
    <w:rsid w:val="007639DF"/>
    <w:rsid w:val="00766A8F"/>
    <w:rsid w:val="00767CCE"/>
    <w:rsid w:val="007712C2"/>
    <w:rsid w:val="00771597"/>
    <w:rsid w:val="00771A25"/>
    <w:rsid w:val="00774319"/>
    <w:rsid w:val="00774AAE"/>
    <w:rsid w:val="00774B74"/>
    <w:rsid w:val="00775BF5"/>
    <w:rsid w:val="00776861"/>
    <w:rsid w:val="00777497"/>
    <w:rsid w:val="00780BE3"/>
    <w:rsid w:val="00780E31"/>
    <w:rsid w:val="0078352E"/>
    <w:rsid w:val="00785825"/>
    <w:rsid w:val="0078623A"/>
    <w:rsid w:val="0078685C"/>
    <w:rsid w:val="007876E4"/>
    <w:rsid w:val="0079080D"/>
    <w:rsid w:val="00790A1C"/>
    <w:rsid w:val="00791475"/>
    <w:rsid w:val="00791E21"/>
    <w:rsid w:val="00792C53"/>
    <w:rsid w:val="00792ED3"/>
    <w:rsid w:val="00793670"/>
    <w:rsid w:val="00794CBE"/>
    <w:rsid w:val="00796AF9"/>
    <w:rsid w:val="00797309"/>
    <w:rsid w:val="007A2C51"/>
    <w:rsid w:val="007A4D97"/>
    <w:rsid w:val="007A5364"/>
    <w:rsid w:val="007B1431"/>
    <w:rsid w:val="007B3368"/>
    <w:rsid w:val="007B39F5"/>
    <w:rsid w:val="007B7812"/>
    <w:rsid w:val="007C1F66"/>
    <w:rsid w:val="007C78A2"/>
    <w:rsid w:val="007D168B"/>
    <w:rsid w:val="007D2C62"/>
    <w:rsid w:val="007D401A"/>
    <w:rsid w:val="007D41DF"/>
    <w:rsid w:val="007D4DD7"/>
    <w:rsid w:val="007D53E7"/>
    <w:rsid w:val="007D75C2"/>
    <w:rsid w:val="007E0C99"/>
    <w:rsid w:val="007E12E8"/>
    <w:rsid w:val="007E24AC"/>
    <w:rsid w:val="007F1927"/>
    <w:rsid w:val="007F1CCA"/>
    <w:rsid w:val="007F4CAB"/>
    <w:rsid w:val="007F5689"/>
    <w:rsid w:val="0080051E"/>
    <w:rsid w:val="00800867"/>
    <w:rsid w:val="0080307F"/>
    <w:rsid w:val="0080361D"/>
    <w:rsid w:val="008046C7"/>
    <w:rsid w:val="00806C4B"/>
    <w:rsid w:val="008120A1"/>
    <w:rsid w:val="0081307F"/>
    <w:rsid w:val="008133A7"/>
    <w:rsid w:val="0081590C"/>
    <w:rsid w:val="00815C7A"/>
    <w:rsid w:val="00816A9D"/>
    <w:rsid w:val="00817296"/>
    <w:rsid w:val="00823105"/>
    <w:rsid w:val="00825DC0"/>
    <w:rsid w:val="008311AC"/>
    <w:rsid w:val="0083261D"/>
    <w:rsid w:val="00833CD4"/>
    <w:rsid w:val="008352FE"/>
    <w:rsid w:val="00835514"/>
    <w:rsid w:val="00836539"/>
    <w:rsid w:val="00837598"/>
    <w:rsid w:val="008408AA"/>
    <w:rsid w:val="00841D15"/>
    <w:rsid w:val="00841DAC"/>
    <w:rsid w:val="008423E9"/>
    <w:rsid w:val="008438C6"/>
    <w:rsid w:val="00847167"/>
    <w:rsid w:val="00847225"/>
    <w:rsid w:val="00847C2A"/>
    <w:rsid w:val="0085010B"/>
    <w:rsid w:val="00852C57"/>
    <w:rsid w:val="008537DA"/>
    <w:rsid w:val="008540D3"/>
    <w:rsid w:val="00854E91"/>
    <w:rsid w:val="00855C3C"/>
    <w:rsid w:val="00856C6B"/>
    <w:rsid w:val="0085728E"/>
    <w:rsid w:val="008579D0"/>
    <w:rsid w:val="00857C48"/>
    <w:rsid w:val="00861C84"/>
    <w:rsid w:val="0086212B"/>
    <w:rsid w:val="00865000"/>
    <w:rsid w:val="00865490"/>
    <w:rsid w:val="00865AFC"/>
    <w:rsid w:val="00865B65"/>
    <w:rsid w:val="00865D8C"/>
    <w:rsid w:val="00870CBE"/>
    <w:rsid w:val="0087140B"/>
    <w:rsid w:val="00871E70"/>
    <w:rsid w:val="008720E4"/>
    <w:rsid w:val="008722EB"/>
    <w:rsid w:val="00872E48"/>
    <w:rsid w:val="00873726"/>
    <w:rsid w:val="0087644F"/>
    <w:rsid w:val="00876A54"/>
    <w:rsid w:val="00877AB4"/>
    <w:rsid w:val="008821E2"/>
    <w:rsid w:val="0088318D"/>
    <w:rsid w:val="008834F8"/>
    <w:rsid w:val="00885916"/>
    <w:rsid w:val="00885CE1"/>
    <w:rsid w:val="00887C94"/>
    <w:rsid w:val="00887CA1"/>
    <w:rsid w:val="00892391"/>
    <w:rsid w:val="008931B6"/>
    <w:rsid w:val="008935E5"/>
    <w:rsid w:val="00893F3C"/>
    <w:rsid w:val="0089548F"/>
    <w:rsid w:val="008A054E"/>
    <w:rsid w:val="008A343B"/>
    <w:rsid w:val="008A3FC7"/>
    <w:rsid w:val="008A42B7"/>
    <w:rsid w:val="008A65C9"/>
    <w:rsid w:val="008A680E"/>
    <w:rsid w:val="008A784D"/>
    <w:rsid w:val="008A7B00"/>
    <w:rsid w:val="008A7BF3"/>
    <w:rsid w:val="008B055E"/>
    <w:rsid w:val="008B073F"/>
    <w:rsid w:val="008B0C55"/>
    <w:rsid w:val="008B15CE"/>
    <w:rsid w:val="008B1946"/>
    <w:rsid w:val="008B2196"/>
    <w:rsid w:val="008B2B1A"/>
    <w:rsid w:val="008B31C4"/>
    <w:rsid w:val="008B3655"/>
    <w:rsid w:val="008B4640"/>
    <w:rsid w:val="008B5CFD"/>
    <w:rsid w:val="008B76E8"/>
    <w:rsid w:val="008B7CF2"/>
    <w:rsid w:val="008C25C5"/>
    <w:rsid w:val="008C3631"/>
    <w:rsid w:val="008C3D73"/>
    <w:rsid w:val="008C7128"/>
    <w:rsid w:val="008D068A"/>
    <w:rsid w:val="008D0B5B"/>
    <w:rsid w:val="008D0EB2"/>
    <w:rsid w:val="008D2558"/>
    <w:rsid w:val="008D30A4"/>
    <w:rsid w:val="008D41B5"/>
    <w:rsid w:val="008D5EA1"/>
    <w:rsid w:val="008D705F"/>
    <w:rsid w:val="008D7F75"/>
    <w:rsid w:val="008E0B8F"/>
    <w:rsid w:val="008E10E0"/>
    <w:rsid w:val="008E166B"/>
    <w:rsid w:val="008E2954"/>
    <w:rsid w:val="008E591C"/>
    <w:rsid w:val="008E6453"/>
    <w:rsid w:val="008E671A"/>
    <w:rsid w:val="008E7B34"/>
    <w:rsid w:val="008F00CE"/>
    <w:rsid w:val="008F01CB"/>
    <w:rsid w:val="008F2E52"/>
    <w:rsid w:val="008F3898"/>
    <w:rsid w:val="008F3FD0"/>
    <w:rsid w:val="008F4AEF"/>
    <w:rsid w:val="008F51B2"/>
    <w:rsid w:val="008F591A"/>
    <w:rsid w:val="008F5DF7"/>
    <w:rsid w:val="008F5E2B"/>
    <w:rsid w:val="008F5E81"/>
    <w:rsid w:val="008F7557"/>
    <w:rsid w:val="00901558"/>
    <w:rsid w:val="0090228F"/>
    <w:rsid w:val="00902556"/>
    <w:rsid w:val="00902939"/>
    <w:rsid w:val="00904BB8"/>
    <w:rsid w:val="009050C0"/>
    <w:rsid w:val="00905A86"/>
    <w:rsid w:val="009067C6"/>
    <w:rsid w:val="00907618"/>
    <w:rsid w:val="00910953"/>
    <w:rsid w:val="00914F2E"/>
    <w:rsid w:val="00916EFB"/>
    <w:rsid w:val="0092069E"/>
    <w:rsid w:val="00921356"/>
    <w:rsid w:val="00921498"/>
    <w:rsid w:val="0092226A"/>
    <w:rsid w:val="00922D57"/>
    <w:rsid w:val="009231E3"/>
    <w:rsid w:val="0092447A"/>
    <w:rsid w:val="009253C3"/>
    <w:rsid w:val="0092586C"/>
    <w:rsid w:val="009261C2"/>
    <w:rsid w:val="00926BBE"/>
    <w:rsid w:val="00930D9D"/>
    <w:rsid w:val="00933218"/>
    <w:rsid w:val="0093374A"/>
    <w:rsid w:val="00934175"/>
    <w:rsid w:val="0093418A"/>
    <w:rsid w:val="00935BA3"/>
    <w:rsid w:val="009407F7"/>
    <w:rsid w:val="00940ED9"/>
    <w:rsid w:val="00941B92"/>
    <w:rsid w:val="009444F6"/>
    <w:rsid w:val="009469AC"/>
    <w:rsid w:val="0094714B"/>
    <w:rsid w:val="009478B3"/>
    <w:rsid w:val="00951496"/>
    <w:rsid w:val="009518A9"/>
    <w:rsid w:val="009532DA"/>
    <w:rsid w:val="009548C0"/>
    <w:rsid w:val="009548C5"/>
    <w:rsid w:val="009553EB"/>
    <w:rsid w:val="00956F45"/>
    <w:rsid w:val="009571D3"/>
    <w:rsid w:val="00957995"/>
    <w:rsid w:val="00960D00"/>
    <w:rsid w:val="0096183E"/>
    <w:rsid w:val="009618CA"/>
    <w:rsid w:val="00962177"/>
    <w:rsid w:val="00962CF5"/>
    <w:rsid w:val="00962E3B"/>
    <w:rsid w:val="00963600"/>
    <w:rsid w:val="00963ACA"/>
    <w:rsid w:val="0096421B"/>
    <w:rsid w:val="0096610D"/>
    <w:rsid w:val="00967AF7"/>
    <w:rsid w:val="0097171B"/>
    <w:rsid w:val="0097366D"/>
    <w:rsid w:val="00976715"/>
    <w:rsid w:val="00976B2F"/>
    <w:rsid w:val="009770F0"/>
    <w:rsid w:val="0097725C"/>
    <w:rsid w:val="0097779A"/>
    <w:rsid w:val="00984055"/>
    <w:rsid w:val="009848A7"/>
    <w:rsid w:val="009849DE"/>
    <w:rsid w:val="00984A2C"/>
    <w:rsid w:val="0098651B"/>
    <w:rsid w:val="00986F0F"/>
    <w:rsid w:val="00990F66"/>
    <w:rsid w:val="0099141C"/>
    <w:rsid w:val="00991947"/>
    <w:rsid w:val="0099198F"/>
    <w:rsid w:val="00993F1B"/>
    <w:rsid w:val="0099455F"/>
    <w:rsid w:val="00994E56"/>
    <w:rsid w:val="009959A6"/>
    <w:rsid w:val="00995E92"/>
    <w:rsid w:val="009A09D8"/>
    <w:rsid w:val="009A0A6A"/>
    <w:rsid w:val="009A101A"/>
    <w:rsid w:val="009A289B"/>
    <w:rsid w:val="009A3D05"/>
    <w:rsid w:val="009A4690"/>
    <w:rsid w:val="009A47FE"/>
    <w:rsid w:val="009A4BBD"/>
    <w:rsid w:val="009A4EBC"/>
    <w:rsid w:val="009A6A0E"/>
    <w:rsid w:val="009A6C6C"/>
    <w:rsid w:val="009B2CD7"/>
    <w:rsid w:val="009B3E03"/>
    <w:rsid w:val="009B4F5D"/>
    <w:rsid w:val="009B5EDC"/>
    <w:rsid w:val="009B757C"/>
    <w:rsid w:val="009C0FED"/>
    <w:rsid w:val="009C59B1"/>
    <w:rsid w:val="009C7462"/>
    <w:rsid w:val="009C791A"/>
    <w:rsid w:val="009D0A16"/>
    <w:rsid w:val="009D20EF"/>
    <w:rsid w:val="009D2E13"/>
    <w:rsid w:val="009D65B4"/>
    <w:rsid w:val="009D791D"/>
    <w:rsid w:val="009E04C7"/>
    <w:rsid w:val="009E13C8"/>
    <w:rsid w:val="009E1890"/>
    <w:rsid w:val="009E3194"/>
    <w:rsid w:val="009F0E1A"/>
    <w:rsid w:val="009F1D35"/>
    <w:rsid w:val="009F2825"/>
    <w:rsid w:val="009F28BC"/>
    <w:rsid w:val="009F3849"/>
    <w:rsid w:val="009F3B7B"/>
    <w:rsid w:val="009F4AC7"/>
    <w:rsid w:val="009F5A2E"/>
    <w:rsid w:val="009F730B"/>
    <w:rsid w:val="00A0110B"/>
    <w:rsid w:val="00A03871"/>
    <w:rsid w:val="00A04D63"/>
    <w:rsid w:val="00A06505"/>
    <w:rsid w:val="00A06583"/>
    <w:rsid w:val="00A0659C"/>
    <w:rsid w:val="00A066F5"/>
    <w:rsid w:val="00A10D00"/>
    <w:rsid w:val="00A11D2C"/>
    <w:rsid w:val="00A140B3"/>
    <w:rsid w:val="00A140FC"/>
    <w:rsid w:val="00A1422A"/>
    <w:rsid w:val="00A14A2C"/>
    <w:rsid w:val="00A153DD"/>
    <w:rsid w:val="00A2049E"/>
    <w:rsid w:val="00A23D80"/>
    <w:rsid w:val="00A243C6"/>
    <w:rsid w:val="00A3170D"/>
    <w:rsid w:val="00A317C1"/>
    <w:rsid w:val="00A31CA5"/>
    <w:rsid w:val="00A33E8C"/>
    <w:rsid w:val="00A35F72"/>
    <w:rsid w:val="00A37C99"/>
    <w:rsid w:val="00A4106F"/>
    <w:rsid w:val="00A41199"/>
    <w:rsid w:val="00A4242A"/>
    <w:rsid w:val="00A43B23"/>
    <w:rsid w:val="00A44ADA"/>
    <w:rsid w:val="00A4660A"/>
    <w:rsid w:val="00A46BBD"/>
    <w:rsid w:val="00A46FF3"/>
    <w:rsid w:val="00A4751A"/>
    <w:rsid w:val="00A47996"/>
    <w:rsid w:val="00A506FC"/>
    <w:rsid w:val="00A52214"/>
    <w:rsid w:val="00A533FD"/>
    <w:rsid w:val="00A5383D"/>
    <w:rsid w:val="00A538C2"/>
    <w:rsid w:val="00A53ED3"/>
    <w:rsid w:val="00A568B9"/>
    <w:rsid w:val="00A6146A"/>
    <w:rsid w:val="00A6152F"/>
    <w:rsid w:val="00A62A08"/>
    <w:rsid w:val="00A643C5"/>
    <w:rsid w:val="00A65C24"/>
    <w:rsid w:val="00A65F48"/>
    <w:rsid w:val="00A67C25"/>
    <w:rsid w:val="00A7315F"/>
    <w:rsid w:val="00A74227"/>
    <w:rsid w:val="00A74CBD"/>
    <w:rsid w:val="00A778F7"/>
    <w:rsid w:val="00A8017B"/>
    <w:rsid w:val="00A81CF1"/>
    <w:rsid w:val="00A81E9B"/>
    <w:rsid w:val="00A82464"/>
    <w:rsid w:val="00A830C2"/>
    <w:rsid w:val="00A846CD"/>
    <w:rsid w:val="00A868D2"/>
    <w:rsid w:val="00A87C0D"/>
    <w:rsid w:val="00A87CDC"/>
    <w:rsid w:val="00A87D8B"/>
    <w:rsid w:val="00A87E2B"/>
    <w:rsid w:val="00A924B1"/>
    <w:rsid w:val="00A93EB2"/>
    <w:rsid w:val="00A95E8B"/>
    <w:rsid w:val="00A9675A"/>
    <w:rsid w:val="00A96A82"/>
    <w:rsid w:val="00AA1C0E"/>
    <w:rsid w:val="00AA582C"/>
    <w:rsid w:val="00AA6E2E"/>
    <w:rsid w:val="00AA7D82"/>
    <w:rsid w:val="00AB0E7B"/>
    <w:rsid w:val="00AB1D03"/>
    <w:rsid w:val="00AB1DAE"/>
    <w:rsid w:val="00AB319B"/>
    <w:rsid w:val="00AB33A9"/>
    <w:rsid w:val="00AB5431"/>
    <w:rsid w:val="00AB6DB3"/>
    <w:rsid w:val="00AB6DCC"/>
    <w:rsid w:val="00AB7228"/>
    <w:rsid w:val="00AB7327"/>
    <w:rsid w:val="00AC11F7"/>
    <w:rsid w:val="00AC1574"/>
    <w:rsid w:val="00AC1742"/>
    <w:rsid w:val="00AC19C3"/>
    <w:rsid w:val="00AC2178"/>
    <w:rsid w:val="00AC32D2"/>
    <w:rsid w:val="00AC3539"/>
    <w:rsid w:val="00AC47A1"/>
    <w:rsid w:val="00AC71F5"/>
    <w:rsid w:val="00AD396C"/>
    <w:rsid w:val="00AD56C5"/>
    <w:rsid w:val="00AE0589"/>
    <w:rsid w:val="00AE16C4"/>
    <w:rsid w:val="00AE3271"/>
    <w:rsid w:val="00AE6D99"/>
    <w:rsid w:val="00AF1678"/>
    <w:rsid w:val="00AF1BF8"/>
    <w:rsid w:val="00AF3F51"/>
    <w:rsid w:val="00AF53EA"/>
    <w:rsid w:val="00AF5CF4"/>
    <w:rsid w:val="00AF7C99"/>
    <w:rsid w:val="00B019F1"/>
    <w:rsid w:val="00B0407B"/>
    <w:rsid w:val="00B05B51"/>
    <w:rsid w:val="00B0725F"/>
    <w:rsid w:val="00B07EC9"/>
    <w:rsid w:val="00B11895"/>
    <w:rsid w:val="00B11A06"/>
    <w:rsid w:val="00B11D55"/>
    <w:rsid w:val="00B144F6"/>
    <w:rsid w:val="00B1461A"/>
    <w:rsid w:val="00B147A8"/>
    <w:rsid w:val="00B15586"/>
    <w:rsid w:val="00B156B7"/>
    <w:rsid w:val="00B16105"/>
    <w:rsid w:val="00B17CCA"/>
    <w:rsid w:val="00B21118"/>
    <w:rsid w:val="00B21199"/>
    <w:rsid w:val="00B223B6"/>
    <w:rsid w:val="00B225EF"/>
    <w:rsid w:val="00B2280A"/>
    <w:rsid w:val="00B25919"/>
    <w:rsid w:val="00B2683B"/>
    <w:rsid w:val="00B26F63"/>
    <w:rsid w:val="00B2711B"/>
    <w:rsid w:val="00B2743E"/>
    <w:rsid w:val="00B304F2"/>
    <w:rsid w:val="00B3050A"/>
    <w:rsid w:val="00B3050E"/>
    <w:rsid w:val="00B307A0"/>
    <w:rsid w:val="00B3136B"/>
    <w:rsid w:val="00B31D3E"/>
    <w:rsid w:val="00B32FC3"/>
    <w:rsid w:val="00B3462C"/>
    <w:rsid w:val="00B377E5"/>
    <w:rsid w:val="00B41689"/>
    <w:rsid w:val="00B41AB8"/>
    <w:rsid w:val="00B44C97"/>
    <w:rsid w:val="00B4598D"/>
    <w:rsid w:val="00B46DF3"/>
    <w:rsid w:val="00B47DD6"/>
    <w:rsid w:val="00B47ED6"/>
    <w:rsid w:val="00B51ABB"/>
    <w:rsid w:val="00B537E4"/>
    <w:rsid w:val="00B53A3D"/>
    <w:rsid w:val="00B5447B"/>
    <w:rsid w:val="00B547D5"/>
    <w:rsid w:val="00B617A6"/>
    <w:rsid w:val="00B61908"/>
    <w:rsid w:val="00B620C2"/>
    <w:rsid w:val="00B63565"/>
    <w:rsid w:val="00B6400C"/>
    <w:rsid w:val="00B642C1"/>
    <w:rsid w:val="00B65029"/>
    <w:rsid w:val="00B70D02"/>
    <w:rsid w:val="00B7219C"/>
    <w:rsid w:val="00B726F9"/>
    <w:rsid w:val="00B728D2"/>
    <w:rsid w:val="00B73957"/>
    <w:rsid w:val="00B758A8"/>
    <w:rsid w:val="00B76473"/>
    <w:rsid w:val="00B7747A"/>
    <w:rsid w:val="00B82974"/>
    <w:rsid w:val="00B86196"/>
    <w:rsid w:val="00B86B7A"/>
    <w:rsid w:val="00B87A1B"/>
    <w:rsid w:val="00B9139C"/>
    <w:rsid w:val="00B92724"/>
    <w:rsid w:val="00B945AD"/>
    <w:rsid w:val="00B94B45"/>
    <w:rsid w:val="00B97F24"/>
    <w:rsid w:val="00BA6D46"/>
    <w:rsid w:val="00BA6F27"/>
    <w:rsid w:val="00BB25AF"/>
    <w:rsid w:val="00BB3427"/>
    <w:rsid w:val="00BB3839"/>
    <w:rsid w:val="00BB3D8D"/>
    <w:rsid w:val="00BB55B2"/>
    <w:rsid w:val="00BC45B6"/>
    <w:rsid w:val="00BC4CB0"/>
    <w:rsid w:val="00BC503C"/>
    <w:rsid w:val="00BC514F"/>
    <w:rsid w:val="00BC59E7"/>
    <w:rsid w:val="00BC6049"/>
    <w:rsid w:val="00BC7760"/>
    <w:rsid w:val="00BC7BE6"/>
    <w:rsid w:val="00BD1216"/>
    <w:rsid w:val="00BD546F"/>
    <w:rsid w:val="00BD7367"/>
    <w:rsid w:val="00BE1496"/>
    <w:rsid w:val="00BE1C47"/>
    <w:rsid w:val="00BE2C55"/>
    <w:rsid w:val="00BE2F01"/>
    <w:rsid w:val="00BE3394"/>
    <w:rsid w:val="00BE468E"/>
    <w:rsid w:val="00BE4C8F"/>
    <w:rsid w:val="00BE4FDD"/>
    <w:rsid w:val="00BE74A3"/>
    <w:rsid w:val="00BE7673"/>
    <w:rsid w:val="00BF1F44"/>
    <w:rsid w:val="00BF561B"/>
    <w:rsid w:val="00BF5659"/>
    <w:rsid w:val="00BF759C"/>
    <w:rsid w:val="00C0116B"/>
    <w:rsid w:val="00C02E81"/>
    <w:rsid w:val="00C04134"/>
    <w:rsid w:val="00C07E92"/>
    <w:rsid w:val="00C101CF"/>
    <w:rsid w:val="00C10759"/>
    <w:rsid w:val="00C115DE"/>
    <w:rsid w:val="00C145E9"/>
    <w:rsid w:val="00C14BD2"/>
    <w:rsid w:val="00C14D5A"/>
    <w:rsid w:val="00C15823"/>
    <w:rsid w:val="00C16D29"/>
    <w:rsid w:val="00C17437"/>
    <w:rsid w:val="00C201A8"/>
    <w:rsid w:val="00C213B2"/>
    <w:rsid w:val="00C2150D"/>
    <w:rsid w:val="00C22321"/>
    <w:rsid w:val="00C234BC"/>
    <w:rsid w:val="00C23974"/>
    <w:rsid w:val="00C23CC5"/>
    <w:rsid w:val="00C24488"/>
    <w:rsid w:val="00C254CB"/>
    <w:rsid w:val="00C25560"/>
    <w:rsid w:val="00C25FBA"/>
    <w:rsid w:val="00C260CC"/>
    <w:rsid w:val="00C266F1"/>
    <w:rsid w:val="00C306A7"/>
    <w:rsid w:val="00C332C3"/>
    <w:rsid w:val="00C333C2"/>
    <w:rsid w:val="00C373DE"/>
    <w:rsid w:val="00C410B7"/>
    <w:rsid w:val="00C415DF"/>
    <w:rsid w:val="00C43109"/>
    <w:rsid w:val="00C44228"/>
    <w:rsid w:val="00C44336"/>
    <w:rsid w:val="00C45812"/>
    <w:rsid w:val="00C511FA"/>
    <w:rsid w:val="00C518E8"/>
    <w:rsid w:val="00C55E5F"/>
    <w:rsid w:val="00C57616"/>
    <w:rsid w:val="00C61534"/>
    <w:rsid w:val="00C61C08"/>
    <w:rsid w:val="00C6441D"/>
    <w:rsid w:val="00C6456A"/>
    <w:rsid w:val="00C645C6"/>
    <w:rsid w:val="00C6625C"/>
    <w:rsid w:val="00C669B0"/>
    <w:rsid w:val="00C66A81"/>
    <w:rsid w:val="00C67A80"/>
    <w:rsid w:val="00C7187C"/>
    <w:rsid w:val="00C72A9E"/>
    <w:rsid w:val="00C738F7"/>
    <w:rsid w:val="00C759CD"/>
    <w:rsid w:val="00C7679B"/>
    <w:rsid w:val="00C779EB"/>
    <w:rsid w:val="00C81B07"/>
    <w:rsid w:val="00C82030"/>
    <w:rsid w:val="00C85F97"/>
    <w:rsid w:val="00C9547C"/>
    <w:rsid w:val="00C9561A"/>
    <w:rsid w:val="00CA02FB"/>
    <w:rsid w:val="00CA0910"/>
    <w:rsid w:val="00CA3271"/>
    <w:rsid w:val="00CA5EE7"/>
    <w:rsid w:val="00CA7659"/>
    <w:rsid w:val="00CA7A6D"/>
    <w:rsid w:val="00CB1686"/>
    <w:rsid w:val="00CB2CF3"/>
    <w:rsid w:val="00CB3009"/>
    <w:rsid w:val="00CB5941"/>
    <w:rsid w:val="00CB757C"/>
    <w:rsid w:val="00CC12F5"/>
    <w:rsid w:val="00CC19A7"/>
    <w:rsid w:val="00CC42A6"/>
    <w:rsid w:val="00CC584B"/>
    <w:rsid w:val="00CC5D7B"/>
    <w:rsid w:val="00CC6F10"/>
    <w:rsid w:val="00CD0614"/>
    <w:rsid w:val="00CD222B"/>
    <w:rsid w:val="00CD2946"/>
    <w:rsid w:val="00CD29DB"/>
    <w:rsid w:val="00CD336A"/>
    <w:rsid w:val="00CD435D"/>
    <w:rsid w:val="00CD63AB"/>
    <w:rsid w:val="00CD667D"/>
    <w:rsid w:val="00CD775D"/>
    <w:rsid w:val="00CE60E2"/>
    <w:rsid w:val="00CE6D52"/>
    <w:rsid w:val="00CF0362"/>
    <w:rsid w:val="00CF0558"/>
    <w:rsid w:val="00CF0C8D"/>
    <w:rsid w:val="00CF0DD4"/>
    <w:rsid w:val="00CF1582"/>
    <w:rsid w:val="00CF1A76"/>
    <w:rsid w:val="00CF48EE"/>
    <w:rsid w:val="00CF4E15"/>
    <w:rsid w:val="00CF6999"/>
    <w:rsid w:val="00CF6B7A"/>
    <w:rsid w:val="00CF7ADD"/>
    <w:rsid w:val="00D02951"/>
    <w:rsid w:val="00D02BEE"/>
    <w:rsid w:val="00D0432C"/>
    <w:rsid w:val="00D05623"/>
    <w:rsid w:val="00D0590B"/>
    <w:rsid w:val="00D122E7"/>
    <w:rsid w:val="00D13106"/>
    <w:rsid w:val="00D17917"/>
    <w:rsid w:val="00D17E71"/>
    <w:rsid w:val="00D22233"/>
    <w:rsid w:val="00D23538"/>
    <w:rsid w:val="00D24510"/>
    <w:rsid w:val="00D24A12"/>
    <w:rsid w:val="00D26686"/>
    <w:rsid w:val="00D26F35"/>
    <w:rsid w:val="00D26FC0"/>
    <w:rsid w:val="00D30D5E"/>
    <w:rsid w:val="00D33326"/>
    <w:rsid w:val="00D33F9B"/>
    <w:rsid w:val="00D344B8"/>
    <w:rsid w:val="00D3700C"/>
    <w:rsid w:val="00D37D79"/>
    <w:rsid w:val="00D412DF"/>
    <w:rsid w:val="00D4250B"/>
    <w:rsid w:val="00D4346D"/>
    <w:rsid w:val="00D434AE"/>
    <w:rsid w:val="00D43934"/>
    <w:rsid w:val="00D43DCE"/>
    <w:rsid w:val="00D4424D"/>
    <w:rsid w:val="00D44757"/>
    <w:rsid w:val="00D45AE6"/>
    <w:rsid w:val="00D45DA0"/>
    <w:rsid w:val="00D46C83"/>
    <w:rsid w:val="00D47D29"/>
    <w:rsid w:val="00D50B83"/>
    <w:rsid w:val="00D52D17"/>
    <w:rsid w:val="00D60A2B"/>
    <w:rsid w:val="00D61396"/>
    <w:rsid w:val="00D643B2"/>
    <w:rsid w:val="00D67093"/>
    <w:rsid w:val="00D672D7"/>
    <w:rsid w:val="00D72EB2"/>
    <w:rsid w:val="00D759AD"/>
    <w:rsid w:val="00D819EF"/>
    <w:rsid w:val="00D82533"/>
    <w:rsid w:val="00D82F92"/>
    <w:rsid w:val="00D84CC5"/>
    <w:rsid w:val="00D86641"/>
    <w:rsid w:val="00D87EA8"/>
    <w:rsid w:val="00D90D63"/>
    <w:rsid w:val="00D9194B"/>
    <w:rsid w:val="00D92D69"/>
    <w:rsid w:val="00D9658A"/>
    <w:rsid w:val="00D96942"/>
    <w:rsid w:val="00DA082C"/>
    <w:rsid w:val="00DA1AED"/>
    <w:rsid w:val="00DA361E"/>
    <w:rsid w:val="00DA37B4"/>
    <w:rsid w:val="00DA3FA4"/>
    <w:rsid w:val="00DA4457"/>
    <w:rsid w:val="00DA565A"/>
    <w:rsid w:val="00DA597B"/>
    <w:rsid w:val="00DA7662"/>
    <w:rsid w:val="00DA7ECF"/>
    <w:rsid w:val="00DB0B95"/>
    <w:rsid w:val="00DB25B6"/>
    <w:rsid w:val="00DB4CF1"/>
    <w:rsid w:val="00DB5A1B"/>
    <w:rsid w:val="00DB6383"/>
    <w:rsid w:val="00DB76F9"/>
    <w:rsid w:val="00DB7C6B"/>
    <w:rsid w:val="00DC2AF0"/>
    <w:rsid w:val="00DC3BF2"/>
    <w:rsid w:val="00DC5007"/>
    <w:rsid w:val="00DD041B"/>
    <w:rsid w:val="00DD33A5"/>
    <w:rsid w:val="00DD36B2"/>
    <w:rsid w:val="00DD4837"/>
    <w:rsid w:val="00DD490B"/>
    <w:rsid w:val="00DD552C"/>
    <w:rsid w:val="00DD694A"/>
    <w:rsid w:val="00DD6E38"/>
    <w:rsid w:val="00DE27B8"/>
    <w:rsid w:val="00DE45DB"/>
    <w:rsid w:val="00DE481F"/>
    <w:rsid w:val="00DE506E"/>
    <w:rsid w:val="00DE558C"/>
    <w:rsid w:val="00DF5202"/>
    <w:rsid w:val="00DF521C"/>
    <w:rsid w:val="00E0378D"/>
    <w:rsid w:val="00E03D7A"/>
    <w:rsid w:val="00E04FE7"/>
    <w:rsid w:val="00E056D7"/>
    <w:rsid w:val="00E06A97"/>
    <w:rsid w:val="00E077CE"/>
    <w:rsid w:val="00E11748"/>
    <w:rsid w:val="00E130DF"/>
    <w:rsid w:val="00E140DA"/>
    <w:rsid w:val="00E142C2"/>
    <w:rsid w:val="00E15433"/>
    <w:rsid w:val="00E15E2D"/>
    <w:rsid w:val="00E210D2"/>
    <w:rsid w:val="00E222CA"/>
    <w:rsid w:val="00E25478"/>
    <w:rsid w:val="00E27BB2"/>
    <w:rsid w:val="00E30FAB"/>
    <w:rsid w:val="00E31C1C"/>
    <w:rsid w:val="00E33D1B"/>
    <w:rsid w:val="00E35C1E"/>
    <w:rsid w:val="00E373BC"/>
    <w:rsid w:val="00E41C8B"/>
    <w:rsid w:val="00E42EA6"/>
    <w:rsid w:val="00E4336A"/>
    <w:rsid w:val="00E44A65"/>
    <w:rsid w:val="00E53269"/>
    <w:rsid w:val="00E53279"/>
    <w:rsid w:val="00E539EE"/>
    <w:rsid w:val="00E55C09"/>
    <w:rsid w:val="00E55FA5"/>
    <w:rsid w:val="00E55FD2"/>
    <w:rsid w:val="00E5621D"/>
    <w:rsid w:val="00E611B2"/>
    <w:rsid w:val="00E620FE"/>
    <w:rsid w:val="00E62CA9"/>
    <w:rsid w:val="00E63315"/>
    <w:rsid w:val="00E638C1"/>
    <w:rsid w:val="00E6572A"/>
    <w:rsid w:val="00E6765D"/>
    <w:rsid w:val="00E67E0C"/>
    <w:rsid w:val="00E71AC0"/>
    <w:rsid w:val="00E71C51"/>
    <w:rsid w:val="00E7354E"/>
    <w:rsid w:val="00E74919"/>
    <w:rsid w:val="00E756FC"/>
    <w:rsid w:val="00E76522"/>
    <w:rsid w:val="00E76B1F"/>
    <w:rsid w:val="00E77C01"/>
    <w:rsid w:val="00E8223C"/>
    <w:rsid w:val="00E8289D"/>
    <w:rsid w:val="00E83B93"/>
    <w:rsid w:val="00E84F80"/>
    <w:rsid w:val="00E90B2D"/>
    <w:rsid w:val="00E9175B"/>
    <w:rsid w:val="00E929A3"/>
    <w:rsid w:val="00E92D85"/>
    <w:rsid w:val="00E93377"/>
    <w:rsid w:val="00E93E3E"/>
    <w:rsid w:val="00E95529"/>
    <w:rsid w:val="00E955E4"/>
    <w:rsid w:val="00E97CD5"/>
    <w:rsid w:val="00EA3DBB"/>
    <w:rsid w:val="00EA4B14"/>
    <w:rsid w:val="00EA57FA"/>
    <w:rsid w:val="00EA6ADB"/>
    <w:rsid w:val="00EB3D20"/>
    <w:rsid w:val="00EB40E3"/>
    <w:rsid w:val="00EB4C8C"/>
    <w:rsid w:val="00EB4D6D"/>
    <w:rsid w:val="00EB73B9"/>
    <w:rsid w:val="00EC07E6"/>
    <w:rsid w:val="00EC2289"/>
    <w:rsid w:val="00EC2420"/>
    <w:rsid w:val="00EC2497"/>
    <w:rsid w:val="00EC29CC"/>
    <w:rsid w:val="00EC4994"/>
    <w:rsid w:val="00EC5167"/>
    <w:rsid w:val="00EC6ABD"/>
    <w:rsid w:val="00ED042D"/>
    <w:rsid w:val="00ED0EB0"/>
    <w:rsid w:val="00ED1A83"/>
    <w:rsid w:val="00ED216F"/>
    <w:rsid w:val="00ED2DBD"/>
    <w:rsid w:val="00ED3D7C"/>
    <w:rsid w:val="00ED469A"/>
    <w:rsid w:val="00ED46B0"/>
    <w:rsid w:val="00ED5D8C"/>
    <w:rsid w:val="00ED6866"/>
    <w:rsid w:val="00ED7DAC"/>
    <w:rsid w:val="00EE1676"/>
    <w:rsid w:val="00EE315C"/>
    <w:rsid w:val="00EE3C02"/>
    <w:rsid w:val="00EE4376"/>
    <w:rsid w:val="00EE4B3B"/>
    <w:rsid w:val="00EE4D09"/>
    <w:rsid w:val="00EE5119"/>
    <w:rsid w:val="00EE5487"/>
    <w:rsid w:val="00EE5621"/>
    <w:rsid w:val="00EF4C0A"/>
    <w:rsid w:val="00EF4FDD"/>
    <w:rsid w:val="00EF7FAE"/>
    <w:rsid w:val="00F0007E"/>
    <w:rsid w:val="00F030DD"/>
    <w:rsid w:val="00F0413B"/>
    <w:rsid w:val="00F059CA"/>
    <w:rsid w:val="00F05E76"/>
    <w:rsid w:val="00F060EC"/>
    <w:rsid w:val="00F121A5"/>
    <w:rsid w:val="00F12A25"/>
    <w:rsid w:val="00F13C0D"/>
    <w:rsid w:val="00F13F59"/>
    <w:rsid w:val="00F1453C"/>
    <w:rsid w:val="00F150CC"/>
    <w:rsid w:val="00F16314"/>
    <w:rsid w:val="00F16BD3"/>
    <w:rsid w:val="00F170B2"/>
    <w:rsid w:val="00F17D58"/>
    <w:rsid w:val="00F203AC"/>
    <w:rsid w:val="00F230D6"/>
    <w:rsid w:val="00F30C95"/>
    <w:rsid w:val="00F31848"/>
    <w:rsid w:val="00F351D1"/>
    <w:rsid w:val="00F3665B"/>
    <w:rsid w:val="00F36BD8"/>
    <w:rsid w:val="00F37329"/>
    <w:rsid w:val="00F40900"/>
    <w:rsid w:val="00F421ED"/>
    <w:rsid w:val="00F4241B"/>
    <w:rsid w:val="00F43685"/>
    <w:rsid w:val="00F4422B"/>
    <w:rsid w:val="00F443C2"/>
    <w:rsid w:val="00F44750"/>
    <w:rsid w:val="00F44D96"/>
    <w:rsid w:val="00F44DFC"/>
    <w:rsid w:val="00F46239"/>
    <w:rsid w:val="00F46D6C"/>
    <w:rsid w:val="00F473D8"/>
    <w:rsid w:val="00F47ADA"/>
    <w:rsid w:val="00F50B41"/>
    <w:rsid w:val="00F524D4"/>
    <w:rsid w:val="00F52ECF"/>
    <w:rsid w:val="00F55F2B"/>
    <w:rsid w:val="00F56588"/>
    <w:rsid w:val="00F565AB"/>
    <w:rsid w:val="00F5665F"/>
    <w:rsid w:val="00F600D7"/>
    <w:rsid w:val="00F62740"/>
    <w:rsid w:val="00F63615"/>
    <w:rsid w:val="00F63D14"/>
    <w:rsid w:val="00F673BD"/>
    <w:rsid w:val="00F678E3"/>
    <w:rsid w:val="00F67AE7"/>
    <w:rsid w:val="00F722B6"/>
    <w:rsid w:val="00F7280A"/>
    <w:rsid w:val="00F72E4A"/>
    <w:rsid w:val="00F73688"/>
    <w:rsid w:val="00F747D8"/>
    <w:rsid w:val="00F76CB4"/>
    <w:rsid w:val="00F77D3D"/>
    <w:rsid w:val="00F80E5B"/>
    <w:rsid w:val="00F85F6D"/>
    <w:rsid w:val="00F867ED"/>
    <w:rsid w:val="00F9013A"/>
    <w:rsid w:val="00F90AB8"/>
    <w:rsid w:val="00F90C48"/>
    <w:rsid w:val="00F9116B"/>
    <w:rsid w:val="00F9182E"/>
    <w:rsid w:val="00F95FD6"/>
    <w:rsid w:val="00F96DB3"/>
    <w:rsid w:val="00FA0BF2"/>
    <w:rsid w:val="00FA1B4B"/>
    <w:rsid w:val="00FA2255"/>
    <w:rsid w:val="00FA2681"/>
    <w:rsid w:val="00FA2701"/>
    <w:rsid w:val="00FA3B3F"/>
    <w:rsid w:val="00FA3E43"/>
    <w:rsid w:val="00FA4C11"/>
    <w:rsid w:val="00FA4DD0"/>
    <w:rsid w:val="00FA5280"/>
    <w:rsid w:val="00FA56F2"/>
    <w:rsid w:val="00FA6897"/>
    <w:rsid w:val="00FA6E75"/>
    <w:rsid w:val="00FB0182"/>
    <w:rsid w:val="00FB1011"/>
    <w:rsid w:val="00FB1C76"/>
    <w:rsid w:val="00FB440F"/>
    <w:rsid w:val="00FB4D44"/>
    <w:rsid w:val="00FB5643"/>
    <w:rsid w:val="00FB712E"/>
    <w:rsid w:val="00FB742A"/>
    <w:rsid w:val="00FC0B73"/>
    <w:rsid w:val="00FC16FC"/>
    <w:rsid w:val="00FC29F7"/>
    <w:rsid w:val="00FC2CD2"/>
    <w:rsid w:val="00FC2CD8"/>
    <w:rsid w:val="00FC2EF0"/>
    <w:rsid w:val="00FC38CD"/>
    <w:rsid w:val="00FC5CCD"/>
    <w:rsid w:val="00FC6278"/>
    <w:rsid w:val="00FC7DC0"/>
    <w:rsid w:val="00FD12B4"/>
    <w:rsid w:val="00FD24FC"/>
    <w:rsid w:val="00FD2F15"/>
    <w:rsid w:val="00FD38FE"/>
    <w:rsid w:val="00FD460B"/>
    <w:rsid w:val="00FD51C8"/>
    <w:rsid w:val="00FD5FEA"/>
    <w:rsid w:val="00FD6A6A"/>
    <w:rsid w:val="00FD71C2"/>
    <w:rsid w:val="00FD79E8"/>
    <w:rsid w:val="00FE10E0"/>
    <w:rsid w:val="00FE42D2"/>
    <w:rsid w:val="00FE5A5C"/>
    <w:rsid w:val="00FE6B43"/>
    <w:rsid w:val="00FF2986"/>
    <w:rsid w:val="00FF3D6E"/>
    <w:rsid w:val="00FF5918"/>
    <w:rsid w:val="00FF6296"/>
    <w:rsid w:val="00FF76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7567F-6132-40CE-94D2-F891C278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04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04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04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314"/>
    <w:pPr>
      <w:spacing w:after="0" w:line="240" w:lineRule="auto"/>
    </w:pPr>
  </w:style>
  <w:style w:type="paragraph" w:styleId="ListParagraph">
    <w:name w:val="List Paragraph"/>
    <w:basedOn w:val="Normal"/>
    <w:uiPriority w:val="34"/>
    <w:qFormat/>
    <w:rsid w:val="00F16314"/>
    <w:pPr>
      <w:ind w:left="720"/>
      <w:contextualSpacing/>
    </w:pPr>
  </w:style>
  <w:style w:type="paragraph" w:styleId="FootnoteText">
    <w:name w:val="footnote text"/>
    <w:basedOn w:val="Normal"/>
    <w:link w:val="FootnoteTextChar"/>
    <w:uiPriority w:val="99"/>
    <w:semiHidden/>
    <w:unhideWhenUsed/>
    <w:rsid w:val="00F163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314"/>
    <w:rPr>
      <w:sz w:val="20"/>
      <w:szCs w:val="20"/>
    </w:rPr>
  </w:style>
  <w:style w:type="character" w:styleId="FootnoteReference">
    <w:name w:val="footnote reference"/>
    <w:basedOn w:val="DefaultParagraphFont"/>
    <w:uiPriority w:val="99"/>
    <w:semiHidden/>
    <w:unhideWhenUsed/>
    <w:rsid w:val="00F16314"/>
    <w:rPr>
      <w:vertAlign w:val="superscript"/>
    </w:rPr>
  </w:style>
  <w:style w:type="paragraph" w:styleId="BodyText">
    <w:name w:val="Body Text"/>
    <w:basedOn w:val="Normal"/>
    <w:link w:val="BodyTextChar"/>
    <w:rsid w:val="00F16314"/>
    <w:pPr>
      <w:spacing w:after="0" w:line="24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F16314"/>
    <w:rPr>
      <w:rFonts w:ascii="Times New Roman" w:eastAsia="Times New Roman" w:hAnsi="Times New Roman" w:cs="Times New Roman"/>
      <w:sz w:val="24"/>
      <w:szCs w:val="24"/>
      <w:lang w:val="en-GB"/>
    </w:rPr>
  </w:style>
  <w:style w:type="table" w:styleId="TableGrid">
    <w:name w:val="Table Grid"/>
    <w:basedOn w:val="TableNormal"/>
    <w:uiPriority w:val="39"/>
    <w:rsid w:val="00F1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314"/>
  </w:style>
  <w:style w:type="character" w:customStyle="1" w:styleId="BalloonTextChar">
    <w:name w:val="Balloon Text Char"/>
    <w:basedOn w:val="DefaultParagraphFont"/>
    <w:link w:val="BalloonText"/>
    <w:uiPriority w:val="99"/>
    <w:semiHidden/>
    <w:rsid w:val="00F16314"/>
    <w:rPr>
      <w:rFonts w:ascii="Segoe UI" w:hAnsi="Segoe UI" w:cs="Segoe UI"/>
      <w:sz w:val="18"/>
      <w:szCs w:val="18"/>
    </w:rPr>
  </w:style>
  <w:style w:type="paragraph" w:styleId="BalloonText">
    <w:name w:val="Balloon Text"/>
    <w:basedOn w:val="Normal"/>
    <w:link w:val="BalloonTextChar"/>
    <w:uiPriority w:val="99"/>
    <w:semiHidden/>
    <w:unhideWhenUsed/>
    <w:rsid w:val="00F16314"/>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F16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314"/>
  </w:style>
  <w:style w:type="character" w:customStyle="1" w:styleId="EndnoteTextChar">
    <w:name w:val="Endnote Text Char"/>
    <w:basedOn w:val="DefaultParagraphFont"/>
    <w:link w:val="EndnoteText"/>
    <w:uiPriority w:val="99"/>
    <w:semiHidden/>
    <w:rsid w:val="00F16314"/>
    <w:rPr>
      <w:sz w:val="20"/>
      <w:szCs w:val="20"/>
    </w:rPr>
  </w:style>
  <w:style w:type="paragraph" w:styleId="EndnoteText">
    <w:name w:val="endnote text"/>
    <w:basedOn w:val="Normal"/>
    <w:link w:val="EndnoteTextChar"/>
    <w:uiPriority w:val="99"/>
    <w:semiHidden/>
    <w:unhideWhenUsed/>
    <w:rsid w:val="00F16314"/>
    <w:pPr>
      <w:spacing w:after="0" w:line="240" w:lineRule="auto"/>
    </w:pPr>
    <w:rPr>
      <w:sz w:val="20"/>
      <w:szCs w:val="20"/>
    </w:rPr>
  </w:style>
  <w:style w:type="table" w:customStyle="1" w:styleId="TableGrid1">
    <w:name w:val="Table Grid1"/>
    <w:basedOn w:val="TableNormal"/>
    <w:next w:val="TableGrid"/>
    <w:uiPriority w:val="39"/>
    <w:rsid w:val="00F1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4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04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00481"/>
    <w:rPr>
      <w:rFonts w:asciiTheme="majorHAnsi" w:eastAsiaTheme="majorEastAsia" w:hAnsiTheme="majorHAnsi" w:cstheme="majorBidi"/>
      <w:color w:val="1F4D78" w:themeColor="accent1" w:themeShade="7F"/>
      <w:sz w:val="24"/>
      <w:szCs w:val="24"/>
    </w:rPr>
  </w:style>
  <w:style w:type="paragraph" w:customStyle="1" w:styleId="western">
    <w:name w:val="western"/>
    <w:basedOn w:val="Normal"/>
    <w:rsid w:val="00E30FAB"/>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199A0E7BB1848B3F8D450F3FAD5C4" ma:contentTypeVersion="7" ma:contentTypeDescription="Create a new document." ma:contentTypeScope="" ma:versionID="97bdcbebbc8d68d5e1cd0914f92abc14">
  <xsd:schema xmlns:xsd="http://www.w3.org/2001/XMLSchema" xmlns:xs="http://www.w3.org/2001/XMLSchema" xmlns:p="http://schemas.microsoft.com/office/2006/metadata/properties" xmlns:ns2="a1be7fe3-b1af-4cce-82d4-6ea25c209236" xmlns:ns3="63bdd487-88aa-4c54-b893-ddaa81ed2e7c" targetNamespace="http://schemas.microsoft.com/office/2006/metadata/properties" ma:root="true" ma:fieldsID="560a34a0c06ff376806fd0a5e0d6c22a" ns2:_="" ns3:_="">
    <xsd:import namespace="a1be7fe3-b1af-4cce-82d4-6ea25c209236"/>
    <xsd:import namespace="63bdd487-88aa-4c54-b893-ddaa81ed2e7c"/>
    <xsd:element name="properties">
      <xsd:complexType>
        <xsd:sequence>
          <xsd:element name="documentManagement">
            <xsd:complexType>
              <xsd:all>
                <xsd:element ref="ns2:Judgment_x0020_Date"/>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7fe3-b1af-4cce-82d4-6ea25c209236" elementFormDefault="qualified">
    <xsd:import namespace="http://schemas.microsoft.com/office/2006/documentManagement/types"/>
    <xsd:import namespace="http://schemas.microsoft.com/office/infopath/2007/PartnerControls"/>
    <xsd:element name="Judgment_x0020_Date" ma:index="8" ma:displayName="Judgment Date" ma:format="DateOnly" ma:internalName="Judg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bdd487-88aa-4c54-b893-ddaa81ed2e7c" elementFormDefault="qualified">
    <xsd:import namespace="http://schemas.microsoft.com/office/2006/documentManagement/types"/>
    <xsd:import namespace="http://schemas.microsoft.com/office/infopath/2007/PartnerControls"/>
    <xsd:element name="Year" ma:index="12"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udgment_x0020_Date xmlns="a1be7fe3-b1af-4cce-82d4-6ea25c209236">2024-07-21T18:30:00+00:00</Judgment_x0020_Date>
    <Year xmlns="63bdd487-88aa-4c54-b893-ddaa81ed2e7c">2024</Year>
  </documentManagement>
</p:properties>
</file>

<file path=customXml/itemProps1.xml><?xml version="1.0" encoding="utf-8"?>
<ds:datastoreItem xmlns:ds="http://schemas.openxmlformats.org/officeDocument/2006/customXml" ds:itemID="{5834CFA0-52F0-4FFE-8D40-56E5FCC73A1A}"/>
</file>

<file path=customXml/itemProps2.xml><?xml version="1.0" encoding="utf-8"?>
<ds:datastoreItem xmlns:ds="http://schemas.openxmlformats.org/officeDocument/2006/customXml" ds:itemID="{C0E63644-322E-4F6E-A6B3-A2C12CF98142}"/>
</file>

<file path=customXml/itemProps3.xml><?xml version="1.0" encoding="utf-8"?>
<ds:datastoreItem xmlns:ds="http://schemas.openxmlformats.org/officeDocument/2006/customXml" ds:itemID="{069C83B7-7B2D-416F-8B9A-4A4B77F1A8B2}"/>
</file>

<file path=customXml/itemProps4.xml><?xml version="1.0" encoding="utf-8"?>
<ds:datastoreItem xmlns:ds="http://schemas.openxmlformats.org/officeDocument/2006/customXml" ds:itemID="{480BD8A5-B890-4B4E-9451-64BCD7C8F91C}"/>
</file>

<file path=docProps/app.xml><?xml version="1.0" encoding="utf-8"?>
<Properties xmlns="http://schemas.openxmlformats.org/officeDocument/2006/extended-properties" xmlns:vt="http://schemas.openxmlformats.org/officeDocument/2006/docPropsVTypes">
  <Template>Normal</Template>
  <TotalTime>18</TotalTime>
  <Pages>12</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Hellens and another v Minister of Home Afffairs and others (SA 64-2021) [2024] NASC (22 July 2024)</dc:title>
  <dc:subject/>
  <dc:creator>Kemanya Amkongo</dc:creator>
  <cp:keywords/>
  <dc:description/>
  <cp:lastModifiedBy>Kemanya Amkongo</cp:lastModifiedBy>
  <cp:revision>12</cp:revision>
  <cp:lastPrinted>2024-07-22T07:55:00Z</cp:lastPrinted>
  <dcterms:created xsi:type="dcterms:W3CDTF">2024-07-19T10:50:00Z</dcterms:created>
  <dcterms:modified xsi:type="dcterms:W3CDTF">2024-07-22T08:35:00Z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0x010100CD1199A0E7BB1848B3F8D450F3FAD5C4</vt:lpwstr>
  </property>
</Properties>
</file>