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FB" w:rsidRDefault="009C10FB" w:rsidP="00B77405">
      <w:pPr>
        <w:spacing w:line="360" w:lineRule="auto"/>
        <w:jc w:val="both"/>
        <w:rPr>
          <w:rFonts w:ascii="Arial" w:hAnsi="Arial" w:cs="Arial"/>
          <w:b/>
          <w:sz w:val="24"/>
          <w:szCs w:val="24"/>
        </w:rPr>
      </w:pPr>
      <w:r>
        <w:rPr>
          <w:rFonts w:ascii="Arial" w:hAnsi="Arial" w:cs="Arial"/>
          <w:b/>
          <w:sz w:val="24"/>
          <w:szCs w:val="24"/>
        </w:rPr>
        <w:t>IN THE HIGH COURT OF SOUTH AFRICA</w:t>
      </w:r>
    </w:p>
    <w:p w:rsidR="009C10FB" w:rsidRDefault="009C10FB" w:rsidP="00B77405">
      <w:pPr>
        <w:spacing w:line="360" w:lineRule="auto"/>
        <w:jc w:val="both"/>
        <w:rPr>
          <w:rFonts w:ascii="Arial" w:hAnsi="Arial" w:cs="Arial"/>
          <w:b/>
          <w:sz w:val="24"/>
          <w:szCs w:val="24"/>
        </w:rPr>
      </w:pPr>
      <w:r>
        <w:rPr>
          <w:rFonts w:ascii="Arial" w:hAnsi="Arial" w:cs="Arial"/>
          <w:b/>
          <w:sz w:val="24"/>
          <w:szCs w:val="24"/>
        </w:rPr>
        <w:t>(EASTERN CAPE, PORT ELIZABETH)</w:t>
      </w:r>
    </w:p>
    <w:p w:rsidR="009C10FB" w:rsidRDefault="009C10FB" w:rsidP="00B77405">
      <w:pPr>
        <w:spacing w:line="360" w:lineRule="auto"/>
        <w:jc w:val="both"/>
        <w:rPr>
          <w:rFonts w:ascii="Arial" w:hAnsi="Arial" w:cs="Arial"/>
          <w:b/>
          <w:sz w:val="24"/>
          <w:szCs w:val="24"/>
        </w:rPr>
      </w:pPr>
    </w:p>
    <w:p w:rsidR="009C10FB" w:rsidRDefault="009C10FB" w:rsidP="009F36C7">
      <w:pPr>
        <w:spacing w:line="360" w:lineRule="auto"/>
        <w:jc w:val="right"/>
        <w:rPr>
          <w:rFonts w:ascii="Arial" w:hAnsi="Arial" w:cs="Arial"/>
          <w:b/>
          <w:sz w:val="24"/>
          <w:szCs w:val="24"/>
        </w:rPr>
      </w:pPr>
      <w:r>
        <w:rPr>
          <w:rFonts w:ascii="Arial" w:hAnsi="Arial" w:cs="Arial"/>
          <w:b/>
          <w:sz w:val="24"/>
          <w:szCs w:val="24"/>
        </w:rPr>
        <w:t>Case No.4190/12</w:t>
      </w:r>
    </w:p>
    <w:p w:rsidR="009C10FB" w:rsidRDefault="009C10FB" w:rsidP="009F36C7">
      <w:pPr>
        <w:spacing w:line="360" w:lineRule="auto"/>
        <w:jc w:val="right"/>
        <w:rPr>
          <w:rFonts w:ascii="Arial" w:hAnsi="Arial" w:cs="Arial"/>
          <w:b/>
          <w:sz w:val="24"/>
          <w:szCs w:val="24"/>
        </w:rPr>
      </w:pPr>
      <w:r>
        <w:rPr>
          <w:rFonts w:ascii="Arial" w:hAnsi="Arial" w:cs="Arial"/>
          <w:b/>
          <w:sz w:val="24"/>
          <w:szCs w:val="24"/>
        </w:rPr>
        <w:t>Date Heard: 15/8/13</w:t>
      </w:r>
    </w:p>
    <w:p w:rsidR="009C10FB" w:rsidRDefault="009C10FB" w:rsidP="009F36C7">
      <w:pPr>
        <w:spacing w:line="360" w:lineRule="auto"/>
        <w:jc w:val="right"/>
        <w:rPr>
          <w:rFonts w:ascii="Arial" w:hAnsi="Arial" w:cs="Arial"/>
          <w:b/>
          <w:sz w:val="24"/>
          <w:szCs w:val="24"/>
        </w:rPr>
      </w:pPr>
      <w:r>
        <w:rPr>
          <w:rFonts w:ascii="Arial" w:hAnsi="Arial" w:cs="Arial"/>
          <w:b/>
          <w:sz w:val="24"/>
          <w:szCs w:val="24"/>
        </w:rPr>
        <w:t>Date Delivered: 16/8/13</w:t>
      </w:r>
    </w:p>
    <w:p w:rsidR="009C10FB" w:rsidRDefault="009C10FB" w:rsidP="009F36C7">
      <w:pPr>
        <w:spacing w:line="360" w:lineRule="auto"/>
        <w:jc w:val="right"/>
        <w:rPr>
          <w:rFonts w:ascii="Arial" w:hAnsi="Arial" w:cs="Arial"/>
          <w:b/>
          <w:sz w:val="24"/>
          <w:szCs w:val="24"/>
        </w:rPr>
      </w:pPr>
      <w:r>
        <w:rPr>
          <w:rFonts w:ascii="Arial" w:hAnsi="Arial" w:cs="Arial"/>
          <w:b/>
          <w:sz w:val="24"/>
          <w:szCs w:val="24"/>
        </w:rPr>
        <w:t>Not Reportable</w:t>
      </w:r>
    </w:p>
    <w:p w:rsidR="009C10FB" w:rsidRDefault="009C10FB" w:rsidP="00B77405">
      <w:pPr>
        <w:spacing w:line="360" w:lineRule="auto"/>
        <w:jc w:val="both"/>
        <w:rPr>
          <w:rFonts w:ascii="Arial" w:hAnsi="Arial" w:cs="Arial"/>
          <w:b/>
          <w:sz w:val="24"/>
          <w:szCs w:val="24"/>
        </w:rPr>
      </w:pPr>
    </w:p>
    <w:p w:rsidR="009C10FB" w:rsidRDefault="009C10FB" w:rsidP="00B77405">
      <w:pPr>
        <w:spacing w:line="360" w:lineRule="auto"/>
        <w:jc w:val="both"/>
        <w:rPr>
          <w:rFonts w:ascii="Arial" w:hAnsi="Arial" w:cs="Arial"/>
          <w:b/>
          <w:sz w:val="24"/>
          <w:szCs w:val="24"/>
        </w:rPr>
      </w:pPr>
      <w:r>
        <w:rPr>
          <w:rFonts w:ascii="Arial" w:hAnsi="Arial" w:cs="Arial"/>
          <w:b/>
          <w:sz w:val="24"/>
          <w:szCs w:val="24"/>
        </w:rPr>
        <w:t>In the matter between:</w:t>
      </w:r>
    </w:p>
    <w:p w:rsidR="009C10FB" w:rsidRDefault="009C10FB" w:rsidP="00B77405">
      <w:pPr>
        <w:spacing w:line="360" w:lineRule="auto"/>
        <w:jc w:val="both"/>
        <w:rPr>
          <w:rFonts w:ascii="Arial" w:hAnsi="Arial" w:cs="Arial"/>
          <w:b/>
          <w:sz w:val="24"/>
          <w:szCs w:val="24"/>
        </w:rPr>
      </w:pPr>
    </w:p>
    <w:p w:rsidR="009C10FB" w:rsidRDefault="009C10FB" w:rsidP="00B77405">
      <w:pPr>
        <w:spacing w:line="360" w:lineRule="auto"/>
        <w:jc w:val="both"/>
        <w:rPr>
          <w:rFonts w:ascii="Arial" w:hAnsi="Arial" w:cs="Arial"/>
          <w:b/>
          <w:sz w:val="24"/>
          <w:szCs w:val="24"/>
        </w:rPr>
      </w:pPr>
      <w:r>
        <w:rPr>
          <w:rFonts w:ascii="Arial" w:hAnsi="Arial" w:cs="Arial"/>
          <w:b/>
          <w:sz w:val="24"/>
          <w:szCs w:val="24"/>
        </w:rPr>
        <w:t>NATIONAL DIRECTOR OF PUBLIC PROSECUTIONS                              Applicant</w:t>
      </w:r>
    </w:p>
    <w:p w:rsidR="009C10FB" w:rsidRDefault="009C10FB" w:rsidP="00B77405">
      <w:pPr>
        <w:spacing w:line="360" w:lineRule="auto"/>
        <w:jc w:val="both"/>
        <w:rPr>
          <w:rFonts w:ascii="Arial" w:hAnsi="Arial" w:cs="Arial"/>
          <w:b/>
          <w:sz w:val="24"/>
          <w:szCs w:val="24"/>
        </w:rPr>
      </w:pPr>
    </w:p>
    <w:p w:rsidR="009C10FB" w:rsidRDefault="009C10FB" w:rsidP="00B77405">
      <w:pPr>
        <w:spacing w:line="360" w:lineRule="auto"/>
        <w:jc w:val="both"/>
        <w:rPr>
          <w:rFonts w:ascii="Arial" w:hAnsi="Arial" w:cs="Arial"/>
          <w:b/>
          <w:sz w:val="24"/>
          <w:szCs w:val="24"/>
        </w:rPr>
      </w:pPr>
      <w:r>
        <w:rPr>
          <w:rFonts w:ascii="Arial" w:hAnsi="Arial" w:cs="Arial"/>
          <w:b/>
          <w:sz w:val="24"/>
          <w:szCs w:val="24"/>
        </w:rPr>
        <w:t>and</w:t>
      </w:r>
    </w:p>
    <w:p w:rsidR="009C10FB" w:rsidRDefault="009C10FB" w:rsidP="00B77405">
      <w:pPr>
        <w:spacing w:line="360" w:lineRule="auto"/>
        <w:jc w:val="both"/>
        <w:rPr>
          <w:rFonts w:ascii="Arial" w:hAnsi="Arial" w:cs="Arial"/>
          <w:b/>
          <w:sz w:val="24"/>
          <w:szCs w:val="24"/>
        </w:rPr>
      </w:pPr>
    </w:p>
    <w:p w:rsidR="009C10FB" w:rsidRDefault="009C10FB" w:rsidP="00B77405">
      <w:pPr>
        <w:spacing w:line="360" w:lineRule="auto"/>
        <w:jc w:val="both"/>
        <w:rPr>
          <w:rFonts w:ascii="Arial" w:hAnsi="Arial" w:cs="Arial"/>
          <w:b/>
          <w:sz w:val="24"/>
          <w:szCs w:val="24"/>
        </w:rPr>
      </w:pPr>
      <w:r>
        <w:rPr>
          <w:rFonts w:ascii="Arial" w:hAnsi="Arial" w:cs="Arial"/>
          <w:b/>
          <w:sz w:val="24"/>
          <w:szCs w:val="24"/>
        </w:rPr>
        <w:t>TANGO WORDSWORTH NQINI                                                              Respondent</w:t>
      </w:r>
    </w:p>
    <w:p w:rsidR="009C10FB" w:rsidRDefault="009C10FB" w:rsidP="00B77405">
      <w:pPr>
        <w:pBdr>
          <w:top w:val="single" w:sz="12" w:space="1" w:color="auto"/>
          <w:bottom w:val="single" w:sz="12" w:space="1" w:color="auto"/>
        </w:pBdr>
        <w:spacing w:line="360" w:lineRule="auto"/>
        <w:jc w:val="both"/>
        <w:rPr>
          <w:rFonts w:ascii="Arial" w:hAnsi="Arial" w:cs="Arial"/>
          <w:b/>
          <w:sz w:val="24"/>
          <w:szCs w:val="24"/>
        </w:rPr>
      </w:pPr>
      <w:r>
        <w:rPr>
          <w:rFonts w:ascii="Arial" w:hAnsi="Arial" w:cs="Arial"/>
          <w:b/>
          <w:sz w:val="24"/>
          <w:szCs w:val="24"/>
        </w:rPr>
        <w:t>Prevention of Organised Crime Act 121 of 1998 – application for forfeiture order, preservation order having been granted – requirements for rescission not met – whether dispute of fact created – whether defence that property not proceeds of unlawful activities established</w:t>
      </w:r>
    </w:p>
    <w:p w:rsidR="009C10FB" w:rsidRDefault="009C10FB" w:rsidP="00B77405">
      <w:pPr>
        <w:spacing w:line="360" w:lineRule="auto"/>
        <w:jc w:val="both"/>
        <w:rPr>
          <w:rFonts w:ascii="Arial" w:hAnsi="Arial" w:cs="Arial"/>
          <w:b/>
          <w:sz w:val="24"/>
          <w:szCs w:val="24"/>
        </w:rPr>
      </w:pPr>
    </w:p>
    <w:p w:rsidR="009C10FB" w:rsidRDefault="009C10FB" w:rsidP="009F36C7">
      <w:pPr>
        <w:pBdr>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rsidR="009C10FB" w:rsidRDefault="009C10FB" w:rsidP="00B77405">
      <w:pPr>
        <w:spacing w:line="360" w:lineRule="auto"/>
        <w:jc w:val="both"/>
        <w:rPr>
          <w:rFonts w:ascii="Arial" w:hAnsi="Arial" w:cs="Arial"/>
          <w:sz w:val="24"/>
          <w:szCs w:val="24"/>
        </w:rPr>
      </w:pPr>
      <w:r>
        <w:rPr>
          <w:rFonts w:ascii="Arial" w:hAnsi="Arial" w:cs="Arial"/>
          <w:b/>
          <w:sz w:val="24"/>
          <w:szCs w:val="24"/>
        </w:rPr>
        <w:t>PLASKET, J:</w:t>
      </w:r>
    </w:p>
    <w:p w:rsidR="009C10FB" w:rsidRDefault="009C10FB" w:rsidP="00B77405">
      <w:pPr>
        <w:spacing w:line="360" w:lineRule="auto"/>
        <w:jc w:val="both"/>
        <w:rPr>
          <w:rFonts w:ascii="Arial" w:hAnsi="Arial" w:cs="Arial"/>
          <w:sz w:val="24"/>
          <w:szCs w:val="24"/>
        </w:rPr>
      </w:pPr>
    </w:p>
    <w:p w:rsidR="009C10FB" w:rsidRDefault="009C10FB" w:rsidP="00B7740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On 27 December 2012 Smith J granted a preservation order in favour of the applicant (the NDPP) and against the respondent (Nqini) in respect of an Audi motor vehicle and R 27 000 in cash. The order was made in terms of s 38(1)(a) of the Prevention of Organised Crime Act 121 of 1998 (POCA). The NDPP now applies for a forfeiture order in respect of the motor vehicle and the cash, in terms of ss 48 and 53 of POCA. Nqini has brought what he terms an application for the rescission of the preservation order. For reasons that I shall explain in due course, I shall treat this simply as his opposition to the application for the forfeiture order, rather than as an application for rescission.</w:t>
      </w:r>
    </w:p>
    <w:p w:rsidR="009C10FB" w:rsidRDefault="009C10FB" w:rsidP="00B77405">
      <w:pPr>
        <w:spacing w:line="360" w:lineRule="auto"/>
        <w:jc w:val="both"/>
        <w:rPr>
          <w:rFonts w:ascii="Arial" w:hAnsi="Arial" w:cs="Arial"/>
          <w:sz w:val="24"/>
          <w:szCs w:val="24"/>
        </w:rPr>
      </w:pPr>
    </w:p>
    <w:p w:rsidR="009C10FB" w:rsidRDefault="009C10FB" w:rsidP="00B77405">
      <w:pPr>
        <w:spacing w:line="360" w:lineRule="auto"/>
        <w:jc w:val="both"/>
        <w:rPr>
          <w:rFonts w:ascii="Arial" w:hAnsi="Arial" w:cs="Arial"/>
          <w:sz w:val="24"/>
          <w:szCs w:val="24"/>
        </w:rPr>
      </w:pPr>
      <w:r>
        <w:rPr>
          <w:rFonts w:ascii="Arial" w:hAnsi="Arial" w:cs="Arial"/>
          <w:sz w:val="24"/>
          <w:szCs w:val="24"/>
          <w:u w:val="single"/>
        </w:rPr>
        <w:lastRenderedPageBreak/>
        <w:t>Relevant provisions of POCA</w:t>
      </w:r>
    </w:p>
    <w:p w:rsidR="009C10FB" w:rsidRDefault="009C10FB" w:rsidP="00B77405">
      <w:pPr>
        <w:spacing w:line="360" w:lineRule="auto"/>
        <w:jc w:val="both"/>
        <w:rPr>
          <w:rFonts w:ascii="Arial" w:hAnsi="Arial" w:cs="Arial"/>
          <w:sz w:val="24"/>
          <w:szCs w:val="24"/>
        </w:rPr>
      </w:pPr>
    </w:p>
    <w:p w:rsidR="009C10FB" w:rsidRDefault="009C10FB" w:rsidP="00B7740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long title of POCA states that it is intended, inter alia, to ‘provide for the recovery of the proceeds of unlawful activity’, as well as for ‘the civil forfeiture of criminal property that has been used to commit an offence’ and ‘property that is the proceeds of unlawful activity’. It creates various mechanisms to achieve these and other of its objects.</w:t>
      </w:r>
    </w:p>
    <w:p w:rsidR="009C10FB" w:rsidRDefault="009C10FB" w:rsidP="00B77405">
      <w:pPr>
        <w:spacing w:line="360" w:lineRule="auto"/>
        <w:jc w:val="both"/>
        <w:rPr>
          <w:rFonts w:ascii="Arial" w:hAnsi="Arial" w:cs="Arial"/>
          <w:sz w:val="24"/>
          <w:szCs w:val="24"/>
        </w:rPr>
      </w:pPr>
    </w:p>
    <w:p w:rsidR="009C10FB" w:rsidRDefault="009C10FB" w:rsidP="00B7740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Section 38 deals with preservation orders. It states:</w:t>
      </w:r>
    </w:p>
    <w:p w:rsidR="009C10FB" w:rsidRPr="009A1995" w:rsidRDefault="009C10FB" w:rsidP="008C7B84">
      <w:pPr>
        <w:spacing w:line="360" w:lineRule="auto"/>
        <w:jc w:val="both"/>
        <w:rPr>
          <w:rFonts w:ascii="Arial" w:hAnsi="Arial" w:cs="Arial"/>
        </w:rPr>
      </w:pPr>
      <w:r w:rsidRPr="009A1995">
        <w:rPr>
          <w:rFonts w:ascii="Arial" w:hAnsi="Arial" w:cs="Arial"/>
        </w:rPr>
        <w:t>‘(1) The National Director may by way of an ex parte application apply to a High Court for an order prohibiting any person, subject to such conditions and exceptions as may be specified in the order, from dealing in any manner with any property.</w:t>
      </w:r>
    </w:p>
    <w:p w:rsidR="009C10FB" w:rsidRPr="009A1995" w:rsidRDefault="009C10FB" w:rsidP="008C7B84">
      <w:pPr>
        <w:spacing w:line="360" w:lineRule="auto"/>
        <w:jc w:val="both"/>
        <w:rPr>
          <w:rFonts w:ascii="Arial" w:hAnsi="Arial" w:cs="Arial"/>
        </w:rPr>
      </w:pPr>
      <w:r w:rsidRPr="009A1995">
        <w:rPr>
          <w:rFonts w:ascii="Arial" w:hAnsi="Arial" w:cs="Arial"/>
        </w:rPr>
        <w:t>(2) The High Court shall make an order referred to in subsection (1) if there are reasonable grounds to believe that the property concerned-</w:t>
      </w:r>
    </w:p>
    <w:p w:rsidR="009C10FB" w:rsidRPr="009A1995" w:rsidRDefault="009C10FB" w:rsidP="008C7B84">
      <w:pPr>
        <w:spacing w:line="360" w:lineRule="auto"/>
        <w:jc w:val="both"/>
        <w:rPr>
          <w:rFonts w:ascii="Arial" w:hAnsi="Arial" w:cs="Arial"/>
        </w:rPr>
      </w:pPr>
      <w:r w:rsidRPr="009A1995">
        <w:rPr>
          <w:rFonts w:ascii="Arial" w:hAnsi="Arial" w:cs="Arial"/>
        </w:rPr>
        <w:tab/>
        <w:t>(a)</w:t>
      </w:r>
      <w:r w:rsidRPr="009A1995">
        <w:rPr>
          <w:rFonts w:ascii="Arial" w:hAnsi="Arial" w:cs="Arial"/>
        </w:rPr>
        <w:tab/>
        <w:t>is an instrumentality of an offence referred to in Schedule 1;</w:t>
      </w:r>
    </w:p>
    <w:p w:rsidR="009C10FB" w:rsidRPr="009A1995" w:rsidRDefault="009C10FB" w:rsidP="008C7B84">
      <w:pPr>
        <w:spacing w:line="360" w:lineRule="auto"/>
        <w:jc w:val="both"/>
        <w:rPr>
          <w:rFonts w:ascii="Arial" w:hAnsi="Arial" w:cs="Arial"/>
        </w:rPr>
      </w:pPr>
      <w:r w:rsidRPr="009A1995">
        <w:rPr>
          <w:rFonts w:ascii="Arial" w:hAnsi="Arial" w:cs="Arial"/>
        </w:rPr>
        <w:tab/>
        <w:t>(b)</w:t>
      </w:r>
      <w:r w:rsidRPr="009A1995">
        <w:rPr>
          <w:rFonts w:ascii="Arial" w:hAnsi="Arial" w:cs="Arial"/>
        </w:rPr>
        <w:tab/>
        <w:t>is the proceeds of unlawful activities; or</w:t>
      </w:r>
    </w:p>
    <w:p w:rsidR="009C10FB" w:rsidRPr="009A1995" w:rsidRDefault="009C10FB" w:rsidP="008C7B84">
      <w:pPr>
        <w:spacing w:line="360" w:lineRule="auto"/>
        <w:jc w:val="both"/>
        <w:rPr>
          <w:rFonts w:ascii="Arial" w:hAnsi="Arial" w:cs="Arial"/>
        </w:rPr>
      </w:pPr>
      <w:r w:rsidRPr="009A1995">
        <w:rPr>
          <w:rFonts w:ascii="Arial" w:hAnsi="Arial" w:cs="Arial"/>
        </w:rPr>
        <w:tab/>
        <w:t>(c)</w:t>
      </w:r>
      <w:r w:rsidRPr="009A1995">
        <w:rPr>
          <w:rFonts w:ascii="Arial" w:hAnsi="Arial" w:cs="Arial"/>
        </w:rPr>
        <w:tab/>
        <w:t>is property associated with terrorist and related activities.</w:t>
      </w:r>
    </w:p>
    <w:p w:rsidR="009C10FB" w:rsidRPr="009A1995" w:rsidRDefault="009C10FB" w:rsidP="008C7B84">
      <w:pPr>
        <w:spacing w:line="360" w:lineRule="auto"/>
        <w:jc w:val="both"/>
        <w:rPr>
          <w:rFonts w:ascii="Arial" w:hAnsi="Arial" w:cs="Arial"/>
        </w:rPr>
      </w:pPr>
      <w:r w:rsidRPr="009A1995">
        <w:rPr>
          <w:rFonts w:ascii="Arial" w:hAnsi="Arial" w:cs="Arial"/>
        </w:rPr>
        <w:t>(3) A High Court making a preservation of property order shall at the same time make an order authorising the seizure of the property concerned by a police official, and any other ancillary orders that the court considers appropriate for the proper, fair and effective execution of the order.</w:t>
      </w:r>
    </w:p>
    <w:p w:rsidR="009C10FB" w:rsidRPr="009A1995" w:rsidRDefault="009C10FB" w:rsidP="008C7B84">
      <w:pPr>
        <w:spacing w:line="360" w:lineRule="auto"/>
        <w:jc w:val="both"/>
        <w:rPr>
          <w:rFonts w:ascii="Arial" w:hAnsi="Arial" w:cs="Arial"/>
        </w:rPr>
      </w:pPr>
      <w:r w:rsidRPr="009A1995">
        <w:rPr>
          <w:rFonts w:ascii="Arial" w:hAnsi="Arial" w:cs="Arial"/>
        </w:rPr>
        <w:t>(4) Property seized under subsection (3) shall be dealt with in accordance with the directions of the High Court which made the relevant preservation of property order.</w:t>
      </w:r>
      <w:r>
        <w:rPr>
          <w:rFonts w:ascii="Arial" w:hAnsi="Arial" w:cs="Arial"/>
        </w:rPr>
        <w:t>’</w:t>
      </w:r>
    </w:p>
    <w:p w:rsidR="009C10FB" w:rsidRDefault="009C10FB" w:rsidP="008C7B84">
      <w:pPr>
        <w:spacing w:line="360" w:lineRule="auto"/>
        <w:jc w:val="both"/>
        <w:rPr>
          <w:rFonts w:ascii="Arial" w:hAnsi="Arial" w:cs="Arial"/>
          <w:sz w:val="24"/>
          <w:szCs w:val="24"/>
        </w:rPr>
      </w:pPr>
    </w:p>
    <w:p w:rsidR="009C10FB" w:rsidRPr="008C7B84" w:rsidRDefault="009C10FB" w:rsidP="008C7B8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Once a preservation order has been granted, the NDPP must, in terms of s 39, give notice to anyone of whom he or she is aware who has an interest in the property and publish a notice of the order in the </w:t>
      </w:r>
      <w:r>
        <w:rPr>
          <w:rFonts w:ascii="Arial" w:hAnsi="Arial" w:cs="Arial"/>
          <w:i/>
          <w:sz w:val="24"/>
          <w:szCs w:val="24"/>
        </w:rPr>
        <w:t>Government Gazette</w:t>
      </w:r>
      <w:r>
        <w:rPr>
          <w:rFonts w:ascii="Arial" w:hAnsi="Arial" w:cs="Arial"/>
          <w:sz w:val="24"/>
          <w:szCs w:val="24"/>
        </w:rPr>
        <w:t>. Anyone with an interest in the property may then enter an appearance to oppose the granting of a forfeiture order or apply for the exclusion of his or her interest from the forfeiture order. The entry of appearance to oppose must be made within 14 days of the service of the preservation order on the person concerned. Such an appearance to oppose must, according to s 39(5), contain full particulars of the address of the person concerned, and be accompanied by an affidavit in which is stated:</w:t>
      </w:r>
    </w:p>
    <w:p w:rsidR="009C10FB" w:rsidRPr="009A1995" w:rsidRDefault="009C10FB" w:rsidP="008C7B84">
      <w:pPr>
        <w:spacing w:line="360" w:lineRule="auto"/>
        <w:jc w:val="both"/>
        <w:rPr>
          <w:rFonts w:ascii="Arial" w:hAnsi="Arial" w:cs="Arial"/>
        </w:rPr>
      </w:pPr>
      <w:r w:rsidRPr="009A1995">
        <w:rPr>
          <w:rFonts w:ascii="Arial" w:hAnsi="Arial" w:cs="Arial"/>
        </w:rPr>
        <w:t>‘(a)</w:t>
      </w:r>
      <w:r w:rsidRPr="009A1995">
        <w:rPr>
          <w:rFonts w:ascii="Arial" w:hAnsi="Arial" w:cs="Arial"/>
        </w:rPr>
        <w:tab/>
        <w:t>full particulars of the identity of the person entering the appearance;</w:t>
      </w:r>
    </w:p>
    <w:p w:rsidR="009C10FB" w:rsidRPr="009A1995" w:rsidRDefault="009C10FB" w:rsidP="008C7B84">
      <w:pPr>
        <w:spacing w:line="360" w:lineRule="auto"/>
        <w:jc w:val="both"/>
        <w:rPr>
          <w:rFonts w:ascii="Arial" w:hAnsi="Arial" w:cs="Arial"/>
        </w:rPr>
      </w:pPr>
      <w:r w:rsidRPr="009A1995">
        <w:rPr>
          <w:rFonts w:ascii="Arial" w:hAnsi="Arial" w:cs="Arial"/>
        </w:rPr>
        <w:t>(b)</w:t>
      </w:r>
      <w:r w:rsidRPr="009A1995">
        <w:rPr>
          <w:rFonts w:ascii="Arial" w:hAnsi="Arial" w:cs="Arial"/>
        </w:rPr>
        <w:tab/>
        <w:t>the nature and extent of his or her interest in the property concerned; and</w:t>
      </w:r>
    </w:p>
    <w:p w:rsidR="009C10FB" w:rsidRPr="009A1995" w:rsidRDefault="009C10FB" w:rsidP="008C7B84">
      <w:pPr>
        <w:spacing w:line="360" w:lineRule="auto"/>
        <w:jc w:val="both"/>
        <w:rPr>
          <w:rFonts w:ascii="Arial" w:hAnsi="Arial" w:cs="Arial"/>
        </w:rPr>
      </w:pPr>
      <w:r w:rsidRPr="009A1995">
        <w:rPr>
          <w:rFonts w:ascii="Arial" w:hAnsi="Arial" w:cs="Arial"/>
        </w:rPr>
        <w:lastRenderedPageBreak/>
        <w:t>(c)</w:t>
      </w:r>
      <w:r w:rsidRPr="009A1995">
        <w:rPr>
          <w:rFonts w:ascii="Arial" w:hAnsi="Arial" w:cs="Arial"/>
        </w:rPr>
        <w:tab/>
        <w:t>the basis of the defence upon which he or she intends to rely in opposing a forfeiture order or applying for the exclusion of his or her interests from the operation thereof.’</w:t>
      </w:r>
    </w:p>
    <w:p w:rsidR="009C10FB" w:rsidRDefault="009C10FB" w:rsidP="008C7B84">
      <w:pPr>
        <w:spacing w:line="360" w:lineRule="auto"/>
        <w:jc w:val="both"/>
        <w:rPr>
          <w:rFonts w:ascii="Arial" w:hAnsi="Arial" w:cs="Arial"/>
          <w:sz w:val="24"/>
          <w:szCs w:val="24"/>
        </w:rPr>
      </w:pPr>
    </w:p>
    <w:p w:rsidR="009C10FB" w:rsidRPr="008C7B84" w:rsidRDefault="009C10FB" w:rsidP="008C7B8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terms of s 40, a preservation order </w:t>
      </w:r>
      <w:r w:rsidRPr="008C7B84">
        <w:rPr>
          <w:rFonts w:ascii="Arial" w:hAnsi="Arial" w:cs="Arial"/>
          <w:sz w:val="24"/>
          <w:szCs w:val="24"/>
        </w:rPr>
        <w:t>expire</w:t>
      </w:r>
      <w:r>
        <w:rPr>
          <w:rFonts w:ascii="Arial" w:hAnsi="Arial" w:cs="Arial"/>
          <w:sz w:val="24"/>
          <w:szCs w:val="24"/>
        </w:rPr>
        <w:t>s</w:t>
      </w:r>
      <w:r w:rsidRPr="008C7B84">
        <w:rPr>
          <w:rFonts w:ascii="Arial" w:hAnsi="Arial" w:cs="Arial"/>
          <w:sz w:val="24"/>
          <w:szCs w:val="24"/>
        </w:rPr>
        <w:t xml:space="preserve"> 90 days after the date on which notice of the making of the order is published in the </w:t>
      </w:r>
      <w:r w:rsidRPr="000B5B20">
        <w:rPr>
          <w:rFonts w:ascii="Arial" w:hAnsi="Arial" w:cs="Arial"/>
          <w:i/>
          <w:sz w:val="24"/>
          <w:szCs w:val="24"/>
        </w:rPr>
        <w:t>Government Gazette</w:t>
      </w:r>
      <w:r w:rsidRPr="008C7B84">
        <w:rPr>
          <w:rFonts w:ascii="Arial" w:hAnsi="Arial" w:cs="Arial"/>
          <w:sz w:val="24"/>
          <w:szCs w:val="24"/>
        </w:rPr>
        <w:t xml:space="preserve"> unless</w:t>
      </w:r>
      <w:r>
        <w:rPr>
          <w:rFonts w:ascii="Arial" w:hAnsi="Arial" w:cs="Arial"/>
          <w:sz w:val="24"/>
          <w:szCs w:val="24"/>
        </w:rPr>
        <w:t xml:space="preserve">, as in this case, </w:t>
      </w:r>
      <w:r w:rsidRPr="008C7B84">
        <w:rPr>
          <w:rFonts w:ascii="Arial" w:hAnsi="Arial" w:cs="Arial"/>
          <w:sz w:val="24"/>
          <w:szCs w:val="24"/>
        </w:rPr>
        <w:t xml:space="preserve">there is an application for a forfeiture order pending before the </w:t>
      </w:r>
      <w:r>
        <w:rPr>
          <w:rFonts w:ascii="Arial" w:hAnsi="Arial" w:cs="Arial"/>
          <w:sz w:val="24"/>
          <w:szCs w:val="24"/>
        </w:rPr>
        <w:t>c</w:t>
      </w:r>
      <w:r w:rsidRPr="008C7B84">
        <w:rPr>
          <w:rFonts w:ascii="Arial" w:hAnsi="Arial" w:cs="Arial"/>
          <w:sz w:val="24"/>
          <w:szCs w:val="24"/>
        </w:rPr>
        <w:t>ourt</w:t>
      </w:r>
      <w:r>
        <w:rPr>
          <w:rFonts w:ascii="Arial" w:hAnsi="Arial" w:cs="Arial"/>
          <w:sz w:val="24"/>
          <w:szCs w:val="24"/>
        </w:rPr>
        <w:t>.</w:t>
      </w:r>
    </w:p>
    <w:p w:rsidR="009C10FB" w:rsidRDefault="009C10FB" w:rsidP="008C7B84">
      <w:pPr>
        <w:spacing w:line="360" w:lineRule="auto"/>
        <w:jc w:val="both"/>
        <w:rPr>
          <w:rFonts w:ascii="Arial" w:hAnsi="Arial" w:cs="Arial"/>
          <w:sz w:val="24"/>
          <w:szCs w:val="24"/>
        </w:rPr>
      </w:pPr>
    </w:p>
    <w:p w:rsidR="009C10FB" w:rsidRPr="008C7B84" w:rsidRDefault="009C10FB" w:rsidP="008C7B84">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Section </w:t>
      </w:r>
      <w:r w:rsidRPr="008C7B84">
        <w:rPr>
          <w:rFonts w:ascii="Arial" w:hAnsi="Arial" w:cs="Arial"/>
          <w:sz w:val="24"/>
          <w:szCs w:val="24"/>
        </w:rPr>
        <w:t xml:space="preserve">47 </w:t>
      </w:r>
      <w:r>
        <w:rPr>
          <w:rFonts w:ascii="Arial" w:hAnsi="Arial" w:cs="Arial"/>
          <w:sz w:val="24"/>
          <w:szCs w:val="24"/>
        </w:rPr>
        <w:t>concerns the v</w:t>
      </w:r>
      <w:r w:rsidRPr="008C7B84">
        <w:rPr>
          <w:rFonts w:ascii="Arial" w:hAnsi="Arial" w:cs="Arial"/>
          <w:sz w:val="24"/>
          <w:szCs w:val="24"/>
        </w:rPr>
        <w:t xml:space="preserve">ariation and rescission of </w:t>
      </w:r>
      <w:r>
        <w:rPr>
          <w:rFonts w:ascii="Arial" w:hAnsi="Arial" w:cs="Arial"/>
          <w:sz w:val="24"/>
          <w:szCs w:val="24"/>
        </w:rPr>
        <w:t xml:space="preserve">preservation </w:t>
      </w:r>
      <w:r w:rsidRPr="008C7B84">
        <w:rPr>
          <w:rFonts w:ascii="Arial" w:hAnsi="Arial" w:cs="Arial"/>
          <w:sz w:val="24"/>
          <w:szCs w:val="24"/>
        </w:rPr>
        <w:t>orders</w:t>
      </w:r>
      <w:r>
        <w:rPr>
          <w:rFonts w:ascii="Arial" w:hAnsi="Arial" w:cs="Arial"/>
          <w:sz w:val="24"/>
          <w:szCs w:val="24"/>
        </w:rPr>
        <w:t>. It provides:</w:t>
      </w:r>
    </w:p>
    <w:p w:rsidR="009C10FB" w:rsidRPr="009A1995" w:rsidRDefault="009C10FB" w:rsidP="008C7B84">
      <w:pPr>
        <w:spacing w:line="360" w:lineRule="auto"/>
        <w:jc w:val="both"/>
        <w:rPr>
          <w:rFonts w:ascii="Arial" w:hAnsi="Arial" w:cs="Arial"/>
        </w:rPr>
      </w:pPr>
      <w:r w:rsidRPr="009A1995">
        <w:rPr>
          <w:rFonts w:ascii="Arial" w:hAnsi="Arial" w:cs="Arial"/>
        </w:rPr>
        <w:t>‘(1) A High Court which made a preservation of property order-</w:t>
      </w:r>
    </w:p>
    <w:p w:rsidR="009C10FB" w:rsidRPr="009A1995" w:rsidRDefault="009C10FB" w:rsidP="009A1995">
      <w:pPr>
        <w:spacing w:line="360" w:lineRule="auto"/>
        <w:ind w:left="720"/>
        <w:jc w:val="both"/>
        <w:rPr>
          <w:rFonts w:ascii="Arial" w:hAnsi="Arial" w:cs="Arial"/>
        </w:rPr>
      </w:pPr>
      <w:r w:rsidRPr="009A1995">
        <w:rPr>
          <w:rFonts w:ascii="Arial" w:hAnsi="Arial" w:cs="Arial"/>
        </w:rPr>
        <w:t>(a)</w:t>
      </w:r>
      <w:r w:rsidRPr="009A1995">
        <w:rPr>
          <w:rFonts w:ascii="Arial" w:hAnsi="Arial" w:cs="Arial"/>
        </w:rPr>
        <w:tab/>
        <w:t>may on application by a person affected by that order vary or rescind the preservation of property order or an order authorising the seizure of the property concerned or other ancillary order if it is satisfied-</w:t>
      </w:r>
    </w:p>
    <w:p w:rsidR="009C10FB" w:rsidRPr="009A1995" w:rsidRDefault="009C10FB" w:rsidP="009A1995">
      <w:pPr>
        <w:spacing w:line="360" w:lineRule="auto"/>
        <w:ind w:left="1440"/>
        <w:jc w:val="both"/>
        <w:rPr>
          <w:rFonts w:ascii="Arial" w:hAnsi="Arial" w:cs="Arial"/>
        </w:rPr>
      </w:pPr>
      <w:r w:rsidRPr="009A1995">
        <w:rPr>
          <w:rFonts w:ascii="Arial" w:hAnsi="Arial" w:cs="Arial"/>
        </w:rPr>
        <w:t>(i)</w:t>
      </w:r>
      <w:r w:rsidRPr="009A1995">
        <w:rPr>
          <w:rFonts w:ascii="Arial" w:hAnsi="Arial" w:cs="Arial"/>
        </w:rPr>
        <w:tab/>
        <w:t>that the operation of the order concerned will deprive the applicant of the means to provide for his or her reasonable living expenses and cause undue hardship for the applicant; and</w:t>
      </w:r>
    </w:p>
    <w:p w:rsidR="009C10FB" w:rsidRPr="009A1995" w:rsidRDefault="009C10FB" w:rsidP="009A1995">
      <w:pPr>
        <w:spacing w:line="360" w:lineRule="auto"/>
        <w:ind w:left="1440"/>
        <w:jc w:val="both"/>
        <w:rPr>
          <w:rFonts w:ascii="Arial" w:hAnsi="Arial" w:cs="Arial"/>
        </w:rPr>
      </w:pPr>
      <w:r w:rsidRPr="009A1995">
        <w:rPr>
          <w:rFonts w:ascii="Arial" w:hAnsi="Arial" w:cs="Arial"/>
        </w:rPr>
        <w:t>(ii)</w:t>
      </w:r>
      <w:r w:rsidRPr="009A1995">
        <w:rPr>
          <w:rFonts w:ascii="Arial" w:hAnsi="Arial" w:cs="Arial"/>
        </w:rPr>
        <w:tab/>
        <w:t>that the hardship that the applicant will suffer as result of the order outweighs the risk that the property concerned may be destroyed, lost, damaged, concealed or transferred; and</w:t>
      </w:r>
    </w:p>
    <w:p w:rsidR="009C10FB" w:rsidRPr="009A1995" w:rsidRDefault="009C10FB" w:rsidP="009A1995">
      <w:pPr>
        <w:spacing w:line="360" w:lineRule="auto"/>
        <w:ind w:left="720"/>
        <w:jc w:val="both"/>
        <w:rPr>
          <w:rFonts w:ascii="Arial" w:hAnsi="Arial" w:cs="Arial"/>
        </w:rPr>
      </w:pPr>
      <w:r w:rsidRPr="009A1995">
        <w:rPr>
          <w:rFonts w:ascii="Arial" w:hAnsi="Arial" w:cs="Arial"/>
        </w:rPr>
        <w:t>(b)</w:t>
      </w:r>
      <w:r w:rsidRPr="009A1995">
        <w:rPr>
          <w:rFonts w:ascii="Arial" w:hAnsi="Arial" w:cs="Arial"/>
        </w:rPr>
        <w:tab/>
        <w:t>shall rescind the preservation of property order when the proceedings against the defendant concerned are concluded.’</w:t>
      </w:r>
    </w:p>
    <w:p w:rsidR="009C10FB" w:rsidRDefault="009C10FB" w:rsidP="008C7B84">
      <w:pPr>
        <w:spacing w:line="360" w:lineRule="auto"/>
        <w:jc w:val="both"/>
        <w:rPr>
          <w:rFonts w:ascii="Arial" w:hAnsi="Arial" w:cs="Arial"/>
          <w:sz w:val="24"/>
          <w:szCs w:val="24"/>
        </w:rPr>
      </w:pPr>
    </w:p>
    <w:p w:rsidR="009C10FB" w:rsidRPr="008C7B84" w:rsidRDefault="009C10FB" w:rsidP="008C7B84">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Section 48 and following sections deal with the forfeiture of property. Section 48(1) and (2) provide that if a preservation order is in force, the NDPP</w:t>
      </w:r>
      <w:r w:rsidRPr="008C7B84">
        <w:rPr>
          <w:rFonts w:ascii="Arial" w:hAnsi="Arial" w:cs="Arial"/>
          <w:sz w:val="24"/>
          <w:szCs w:val="24"/>
        </w:rPr>
        <w:t xml:space="preserve"> </w:t>
      </w:r>
      <w:r>
        <w:rPr>
          <w:rFonts w:ascii="Arial" w:hAnsi="Arial" w:cs="Arial"/>
          <w:sz w:val="24"/>
          <w:szCs w:val="24"/>
        </w:rPr>
        <w:t>‘</w:t>
      </w:r>
      <w:r w:rsidRPr="008C7B84">
        <w:rPr>
          <w:rFonts w:ascii="Arial" w:hAnsi="Arial" w:cs="Arial"/>
          <w:sz w:val="24"/>
          <w:szCs w:val="24"/>
        </w:rPr>
        <w:t>may apply to a High Court for an order forfeiting to the State all or any of the property that is subject to the preservation of property order</w:t>
      </w:r>
      <w:r>
        <w:rPr>
          <w:rFonts w:ascii="Arial" w:hAnsi="Arial" w:cs="Arial"/>
          <w:sz w:val="24"/>
          <w:szCs w:val="24"/>
        </w:rPr>
        <w:t>’ on 14 days’ notice to anyone who has entered an appearance to oppose in terms of s 39(3)</w:t>
      </w:r>
      <w:r w:rsidRPr="008C7B84">
        <w:rPr>
          <w:rFonts w:ascii="Arial" w:hAnsi="Arial" w:cs="Arial"/>
          <w:sz w:val="24"/>
          <w:szCs w:val="24"/>
        </w:rPr>
        <w:t>.</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terms of s </w:t>
      </w:r>
      <w:r w:rsidRPr="008C7B84">
        <w:rPr>
          <w:rFonts w:ascii="Arial" w:hAnsi="Arial" w:cs="Arial"/>
          <w:sz w:val="24"/>
          <w:szCs w:val="24"/>
        </w:rPr>
        <w:t>50</w:t>
      </w:r>
      <w:r>
        <w:rPr>
          <w:rFonts w:ascii="Arial" w:hAnsi="Arial" w:cs="Arial"/>
          <w:sz w:val="24"/>
          <w:szCs w:val="24"/>
        </w:rPr>
        <w:t>, a court shall</w:t>
      </w:r>
      <w:r w:rsidRPr="008C7B84">
        <w:rPr>
          <w:rFonts w:ascii="Arial" w:hAnsi="Arial" w:cs="Arial"/>
          <w:sz w:val="24"/>
          <w:szCs w:val="24"/>
        </w:rPr>
        <w:t xml:space="preserve"> </w:t>
      </w:r>
      <w:r>
        <w:rPr>
          <w:rFonts w:ascii="Arial" w:hAnsi="Arial" w:cs="Arial"/>
          <w:sz w:val="24"/>
          <w:szCs w:val="24"/>
        </w:rPr>
        <w:t>m</w:t>
      </w:r>
      <w:r w:rsidRPr="008C7B84">
        <w:rPr>
          <w:rFonts w:ascii="Arial" w:hAnsi="Arial" w:cs="Arial"/>
          <w:sz w:val="24"/>
          <w:szCs w:val="24"/>
        </w:rPr>
        <w:t>ak</w:t>
      </w:r>
      <w:r>
        <w:rPr>
          <w:rFonts w:ascii="Arial" w:hAnsi="Arial" w:cs="Arial"/>
          <w:sz w:val="24"/>
          <w:szCs w:val="24"/>
        </w:rPr>
        <w:t>e a</w:t>
      </w:r>
      <w:r w:rsidRPr="008C7B84">
        <w:rPr>
          <w:rFonts w:ascii="Arial" w:hAnsi="Arial" w:cs="Arial"/>
          <w:sz w:val="24"/>
          <w:szCs w:val="24"/>
        </w:rPr>
        <w:t xml:space="preserve"> forfeiture order</w:t>
      </w:r>
      <w:r>
        <w:rPr>
          <w:rFonts w:ascii="Arial" w:hAnsi="Arial" w:cs="Arial"/>
          <w:sz w:val="24"/>
          <w:szCs w:val="24"/>
        </w:rPr>
        <w:t xml:space="preserve"> (</w:t>
      </w:r>
      <w:r w:rsidRPr="008C7B84">
        <w:rPr>
          <w:rFonts w:ascii="Arial" w:hAnsi="Arial" w:cs="Arial"/>
          <w:sz w:val="24"/>
          <w:szCs w:val="24"/>
        </w:rPr>
        <w:t xml:space="preserve">subject to </w:t>
      </w:r>
      <w:r>
        <w:rPr>
          <w:rFonts w:ascii="Arial" w:hAnsi="Arial" w:cs="Arial"/>
          <w:sz w:val="24"/>
          <w:szCs w:val="24"/>
        </w:rPr>
        <w:t xml:space="preserve">it excluding certain interests from the operation of the order) </w:t>
      </w:r>
      <w:r w:rsidRPr="008C7B84">
        <w:rPr>
          <w:rFonts w:ascii="Arial" w:hAnsi="Arial" w:cs="Arial"/>
          <w:sz w:val="24"/>
          <w:szCs w:val="24"/>
        </w:rPr>
        <w:t xml:space="preserve">if </w:t>
      </w:r>
      <w:r>
        <w:rPr>
          <w:rFonts w:ascii="Arial" w:hAnsi="Arial" w:cs="Arial"/>
          <w:sz w:val="24"/>
          <w:szCs w:val="24"/>
        </w:rPr>
        <w:t>i</w:t>
      </w:r>
      <w:r w:rsidRPr="008C7B84">
        <w:rPr>
          <w:rFonts w:ascii="Arial" w:hAnsi="Arial" w:cs="Arial"/>
          <w:sz w:val="24"/>
          <w:szCs w:val="24"/>
        </w:rPr>
        <w:t xml:space="preserve">t finds on a balance of probabilities that the property </w:t>
      </w:r>
      <w:r>
        <w:rPr>
          <w:rFonts w:ascii="Arial" w:hAnsi="Arial" w:cs="Arial"/>
          <w:sz w:val="24"/>
          <w:szCs w:val="24"/>
        </w:rPr>
        <w:t>is either ‘</w:t>
      </w:r>
      <w:r w:rsidRPr="008C7B84">
        <w:rPr>
          <w:rFonts w:ascii="Arial" w:hAnsi="Arial" w:cs="Arial"/>
          <w:sz w:val="24"/>
          <w:szCs w:val="24"/>
        </w:rPr>
        <w:t>an instrumentality of an offence referred to in Schedule 1</w:t>
      </w:r>
      <w:r>
        <w:rPr>
          <w:rFonts w:ascii="Arial" w:hAnsi="Arial" w:cs="Arial"/>
          <w:sz w:val="24"/>
          <w:szCs w:val="24"/>
        </w:rPr>
        <w:t>’ of POCA or is ‘</w:t>
      </w:r>
      <w:r w:rsidRPr="008C7B84">
        <w:rPr>
          <w:rFonts w:ascii="Arial" w:hAnsi="Arial" w:cs="Arial"/>
          <w:sz w:val="24"/>
          <w:szCs w:val="24"/>
        </w:rPr>
        <w:t>the proceeds of unlawful activities</w:t>
      </w:r>
      <w:r>
        <w:rPr>
          <w:rFonts w:ascii="Arial" w:hAnsi="Arial" w:cs="Arial"/>
          <w:sz w:val="24"/>
          <w:szCs w:val="24"/>
        </w:rPr>
        <w:t>’</w:t>
      </w:r>
      <w:r w:rsidRPr="008C7B84">
        <w:rPr>
          <w:rFonts w:ascii="Arial" w:hAnsi="Arial" w:cs="Arial"/>
          <w:sz w:val="24"/>
          <w:szCs w:val="24"/>
        </w:rPr>
        <w:t xml:space="preserve"> or</w:t>
      </w:r>
      <w:r>
        <w:rPr>
          <w:rFonts w:ascii="Arial" w:hAnsi="Arial" w:cs="Arial"/>
          <w:sz w:val="24"/>
          <w:szCs w:val="24"/>
        </w:rPr>
        <w:t xml:space="preserve"> is ‘</w:t>
      </w:r>
      <w:r w:rsidRPr="008C7B84">
        <w:rPr>
          <w:rFonts w:ascii="Arial" w:hAnsi="Arial" w:cs="Arial"/>
          <w:sz w:val="24"/>
          <w:szCs w:val="24"/>
        </w:rPr>
        <w:t>property associated with terrorist and related activities</w:t>
      </w:r>
      <w:r>
        <w:rPr>
          <w:rFonts w:ascii="Arial" w:hAnsi="Arial" w:cs="Arial"/>
          <w:sz w:val="24"/>
          <w:szCs w:val="24"/>
        </w:rPr>
        <w:t>’</w:t>
      </w:r>
      <w:r w:rsidRPr="008C7B84">
        <w:rPr>
          <w:rFonts w:ascii="Arial" w:hAnsi="Arial" w:cs="Arial"/>
          <w:sz w:val="24"/>
          <w:szCs w:val="24"/>
        </w:rPr>
        <w:t>.</w:t>
      </w:r>
      <w:r>
        <w:rPr>
          <w:rFonts w:ascii="Arial" w:hAnsi="Arial" w:cs="Arial"/>
          <w:sz w:val="24"/>
          <w:szCs w:val="24"/>
        </w:rPr>
        <w:t xml:space="preserve"> Finally, s 53 empowers a court to make a forfeiture order by default. This application for a forfeiture order was made in </w:t>
      </w:r>
      <w:r>
        <w:rPr>
          <w:rFonts w:ascii="Arial" w:hAnsi="Arial" w:cs="Arial"/>
          <w:sz w:val="24"/>
          <w:szCs w:val="24"/>
        </w:rPr>
        <w:lastRenderedPageBreak/>
        <w:t>reliance on s 53 because no appearance to oppose had been entered by Nqini or anyone else within the time prescribed.</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case law makes it plain that the preservation and forfeiture provisions here under consideration are ‘not conviction based’ and ‘may be invoked even when there is no prosecution’.</w:t>
      </w:r>
      <w:r>
        <w:rPr>
          <w:rStyle w:val="FootnoteReference"/>
          <w:rFonts w:ascii="Arial" w:hAnsi="Arial" w:cs="Arial"/>
          <w:sz w:val="24"/>
          <w:szCs w:val="24"/>
        </w:rPr>
        <w:footnoteReference w:id="2"/>
      </w:r>
      <w:r>
        <w:rPr>
          <w:rFonts w:ascii="Arial" w:hAnsi="Arial" w:cs="Arial"/>
          <w:sz w:val="24"/>
          <w:szCs w:val="24"/>
        </w:rPr>
        <w:t xml:space="preserve"> As a result, ‘the guilt or wrongdoing of owners or possessors of property is “not primarily relevant to the proceedings”’ because the focus is really on the role of the property in relation to criminal activity, rather than the state of mind of the respondent.</w:t>
      </w:r>
      <w:r>
        <w:rPr>
          <w:rStyle w:val="FootnoteReference"/>
          <w:rFonts w:ascii="Arial" w:hAnsi="Arial" w:cs="Arial"/>
          <w:sz w:val="24"/>
          <w:szCs w:val="24"/>
        </w:rPr>
        <w:footnoteReference w:id="3"/>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With that legislative overview and that briefest of summaries of how the Constitutional Court and Supreme Court of Appeal have categorised the provisions with which this case is concerned, I turn now to the facts and the determination of the issues arising from them.</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u w:val="single"/>
        </w:rPr>
        <w:t>The facts</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 21 November 2012 cash of approximately R1 000 000 was stolen from the home of Dr Bongani Nqini, the brother of the respondent. Dr Nqini made a statement about the circumstances of the theft. He had left his house locked and with the alarm set. When he returned he found the gate was open. It was not, however, damaged, leading him to believe that the thief had opened the gate with a remote. He first checked the garage but found that the car in it was still there. He entered his home and found everything in order until he entered the main bedroom, which he found to have been disturbed. He discovered that two wall safes had been removed and stolen. They contained about R1 000 000 in cash as well as jewellery and other items.</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Dr Nqini stated that only two people could have entered his house and de-activated the alarm system. They were his brothers. His suspicion immediately fell </w:t>
      </w:r>
      <w:r>
        <w:rPr>
          <w:rFonts w:ascii="Arial" w:hAnsi="Arial" w:cs="Arial"/>
          <w:sz w:val="24"/>
          <w:szCs w:val="24"/>
        </w:rPr>
        <w:lastRenderedPageBreak/>
        <w:t>on the respondent for two reasons. First, the respondent had, on a previous occasion, stolen his car, and secondly, he was unemployed.</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It is common cause that on the following day, Nqini bought an Audi motor vehicle from Auto Executive in Newton Park. He wanted to pay for it in cash but the manager of the firm, Mr Steve Roberts, told him to deposit the cash in its account and bring proof of having done so. He did so at about 13h00 that day, having deposited 2 600 R100 notes into the account of Auto Executive. The vehicle was handed over to Nqini but he was told to return to collect the licence papers. It was duly licenced in his name.</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On 21 December 2012, one Sergeant Moegamet Humphries, the investigating officer in the theft matter, made enquiries of Roberts about the sale. Roberts told him that Nqini had to return to collect the spare keys and licence papers. Humphries asked to be informed when he did so. About an hour later, Nqini arrived and Roberts contacted Humphries who arrested Nqini and searched the vehicle. He found R27 000 in R100 notes in the vehicle. </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In a warning statement taken, I presume, after his arrest (in which case, the date of 22 November 2012 is erroneous) Nqini denied having stolen the money from his brother but offered no explanation whatsoever for his purchase of the vehicle or his possession of the cash. </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his affidavit filed in support of what was described as a rescission application, Nqini stated that he had lost his job at the New Law Courts in Port Elizabeth in 2009 and had been unemployed since then. He does not deny, however, the allegation made by his brother that he had stolen a vehicle belonging to his brother. He also made no mention of two rather curious facts that were disclosed in reply: he does not have a driver’s licence and the person who is identified for purposes of insuring the vehicle as its regular driver is one Mr M Soloshe, who is mentioned nowhere in the papers. (Leave has not been sought by Nqini to reply to these allegations.) </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Nqini’s version is this. In July 2002, an old friend, one Mr Thobani Notshokovu, who is a businessman, asked him to assist in managing a night club in King William’s Town. Because Notshokovu knew that Nqini needed money and transport, he gave him R260 000 in cash to purchase a vehicle. The idea was that this would be an advance. Later, he gave him R27 000 as well for ‘supplies at the club in King William’s Town’. That is the extent of the detail provided by Nqini, although he refers to the supporting affidavit of Notshokovu.</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Notshokovu states that he is a businessman with, it would appear, business interests of a varied nature. He said that he had hired Nqini in July 2012 as the manager of his night club in King William’s Town to work as an office manager. He then says, and this is the extent to which their contractual relationship is explained:</w:t>
      </w:r>
    </w:p>
    <w:p w:rsidR="009C10FB" w:rsidRDefault="009C10FB" w:rsidP="008C7B84">
      <w:pPr>
        <w:spacing w:line="360" w:lineRule="auto"/>
        <w:jc w:val="both"/>
        <w:rPr>
          <w:rFonts w:ascii="Arial" w:hAnsi="Arial" w:cs="Arial"/>
        </w:rPr>
      </w:pPr>
      <w:r>
        <w:rPr>
          <w:rFonts w:ascii="Arial" w:hAnsi="Arial" w:cs="Arial"/>
        </w:rPr>
        <w:t>‘8. In terms of our verbal agreement, Applicant would not be paid a salary for the first few months but rather I was to advance him a sum of R260 000.00. This money was to buy a car as he desperately needed to have transport. This was to assist him in his duties as manager of the club in King William’s Town but also his travels between King William’s Town and Port Elizabeth, which is his home. Also, in terms of our plan, Applicant and I are also working together on plans to open another club in Port Elizabeth which we intend to run as partners.</w:t>
      </w:r>
    </w:p>
    <w:p w:rsidR="009C10FB" w:rsidRDefault="009C10FB" w:rsidP="008C7B84">
      <w:pPr>
        <w:spacing w:line="360" w:lineRule="auto"/>
        <w:jc w:val="both"/>
        <w:rPr>
          <w:rFonts w:ascii="Arial" w:hAnsi="Arial" w:cs="Arial"/>
          <w:sz w:val="24"/>
          <w:szCs w:val="24"/>
        </w:rPr>
      </w:pPr>
      <w:r>
        <w:rPr>
          <w:rFonts w:ascii="Arial" w:hAnsi="Arial" w:cs="Arial"/>
        </w:rPr>
        <w:t>9. Our agreement on this money was never reduced to writing. I have known the Applicant all my life. I have been very close to him all my life. I know him very well and trust him very well. Therefore, the need for this agreement to be reduced to writing and signed by us never arose. We never saw the need to involve third parties in this either. According to our agreement, the Applicant would pay me back out of the business he generated for the club: market etc.’</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As for the R27 000, he says prior to meeting Nqini on 20 December 2012 to discuss the operation of the night club in King William’s Town, Nqini had requested money for the club, he had obtained the money and had handed it over to Nqini at their meeting.</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I have mentioned that, in his replying affidavit, the deponent on behalf of the NDPP states that his office’s investigations revealed that Nqini does not have a driver’s licence and that, for insurance purposes, he had stated that the regular driver of the vehicle was one Mr M Soloshe. In addition, it appears that the insurance cover for the vehicle amounts to R1 596.24 per month. </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u w:val="single"/>
        </w:rPr>
        <w:t>The issues</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The first issue that must be dealt with is the nature of the respondent’s opposition. He claims to have brought an application to rescind the preservation order but not one of the allegations necessary to sustain such an application in terms of s 47 of POCA have been made in his affidavit. Clearly, whatever his intention, he has not brought a rescission application in terms of s 47. I am prepared to treat his opposition as being opposition to the grant of the forfeiture order as contemplated by s 39(3), albeit that it was entered out of time. I am prepared to condone that defect, particularly in the light of the NDPP’s attitude that condonation would not be opposed.</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   From a reading of Nqini’s affidavit, it is apparent that the defence that he raises to the application for the forfeiture order is that the vehicle and the cash are not the proceeds of unlawful activities. That requires a consideration of the facts.</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It is trite that in motion proceedings such as these where final relief is sought, that relief may only be granted, as a general rule, if ‘those facts averred in the applicant’s affidavits which have been admitted by the respondent together with the facts alleged by the respondent, justify such an order’.</w:t>
      </w:r>
      <w:r>
        <w:rPr>
          <w:rStyle w:val="FootnoteReference"/>
          <w:rFonts w:ascii="Arial" w:hAnsi="Arial" w:cs="Arial"/>
          <w:sz w:val="24"/>
          <w:szCs w:val="24"/>
        </w:rPr>
        <w:footnoteReference w:id="4"/>
      </w:r>
      <w:r>
        <w:rPr>
          <w:rFonts w:ascii="Arial" w:hAnsi="Arial" w:cs="Arial"/>
          <w:sz w:val="24"/>
          <w:szCs w:val="24"/>
        </w:rPr>
        <w:t xml:space="preserve"> This general rule is qualified: it only applies where the denial by a respondent of facts alleged by an applicant ‘raise a real, genuine or </w:t>
      </w:r>
      <w:r>
        <w:rPr>
          <w:rFonts w:ascii="Arial" w:hAnsi="Arial" w:cs="Arial"/>
          <w:i/>
          <w:sz w:val="24"/>
          <w:szCs w:val="24"/>
        </w:rPr>
        <w:t>bona fide</w:t>
      </w:r>
      <w:r>
        <w:rPr>
          <w:rFonts w:ascii="Arial" w:hAnsi="Arial" w:cs="Arial"/>
          <w:sz w:val="24"/>
          <w:szCs w:val="24"/>
        </w:rPr>
        <w:t xml:space="preserve"> dispute of fact’.</w:t>
      </w:r>
      <w:r>
        <w:rPr>
          <w:rStyle w:val="FootnoteReference"/>
          <w:rFonts w:ascii="Arial" w:hAnsi="Arial" w:cs="Arial"/>
          <w:sz w:val="24"/>
          <w:szCs w:val="24"/>
        </w:rPr>
        <w:footnoteReference w:id="5"/>
      </w:r>
      <w:r>
        <w:rPr>
          <w:rFonts w:ascii="Arial" w:hAnsi="Arial" w:cs="Arial"/>
          <w:sz w:val="24"/>
          <w:szCs w:val="24"/>
        </w:rPr>
        <w:t xml:space="preserve"> Where no such dispute of fact is raised, and the court is satisfied as to the inherent credibility of the applicant’s version, it will accept the applicant’s facts or, where the allegations or denials of the respondent are ‘far-fetched or clearly untenable’ they may be rejected on the papers.</w:t>
      </w:r>
      <w:r>
        <w:rPr>
          <w:rStyle w:val="FootnoteReference"/>
          <w:rFonts w:ascii="Arial" w:hAnsi="Arial" w:cs="Arial"/>
          <w:sz w:val="24"/>
          <w:szCs w:val="24"/>
        </w:rPr>
        <w:footnoteReference w:id="6"/>
      </w:r>
      <w:r>
        <w:rPr>
          <w:rFonts w:ascii="Arial" w:hAnsi="Arial" w:cs="Arial"/>
          <w:sz w:val="24"/>
          <w:szCs w:val="24"/>
        </w:rPr>
        <w:t xml:space="preserve"> In summing up the situations in which a court will accept an applicant’s version despite a respondent’s denial, Harms DP, in </w:t>
      </w:r>
      <w:r>
        <w:rPr>
          <w:rFonts w:ascii="Arial" w:hAnsi="Arial" w:cs="Arial"/>
          <w:i/>
          <w:sz w:val="24"/>
          <w:szCs w:val="24"/>
        </w:rPr>
        <w:t>National Director of Public Prosecutions v Zuma</w:t>
      </w:r>
      <w:r w:rsidRPr="00F808E0">
        <w:rPr>
          <w:rStyle w:val="FootnoteReference"/>
          <w:rFonts w:ascii="Arial" w:hAnsi="Arial" w:cs="Arial"/>
          <w:sz w:val="24"/>
          <w:szCs w:val="24"/>
        </w:rPr>
        <w:footnoteReference w:id="7"/>
      </w:r>
      <w:r>
        <w:rPr>
          <w:rFonts w:ascii="Arial" w:hAnsi="Arial" w:cs="Arial"/>
          <w:sz w:val="24"/>
          <w:szCs w:val="24"/>
        </w:rPr>
        <w:t xml:space="preserve"> stated:</w:t>
      </w:r>
    </w:p>
    <w:p w:rsidR="009C10FB" w:rsidRDefault="009C10FB" w:rsidP="008C7B84">
      <w:pPr>
        <w:spacing w:line="360" w:lineRule="auto"/>
        <w:jc w:val="both"/>
        <w:rPr>
          <w:rFonts w:ascii="Arial" w:hAnsi="Arial" w:cs="Arial"/>
          <w:sz w:val="24"/>
          <w:szCs w:val="24"/>
        </w:rPr>
      </w:pPr>
      <w:r>
        <w:rPr>
          <w:rFonts w:ascii="Arial" w:hAnsi="Arial" w:cs="Arial"/>
        </w:rPr>
        <w:lastRenderedPageBreak/>
        <w:t>‘It may be different if the respondent’s version consists of bald or uncreditworthy denials, raises fictitious disputes of fact, is palpably implausible, far-fetched or so clearly untenable that the court is justified in rejecting them merely on the papers.’</w:t>
      </w:r>
    </w:p>
    <w:p w:rsidR="009C10FB" w:rsidRDefault="009C10FB" w:rsidP="008C7B84">
      <w:pPr>
        <w:spacing w:line="360" w:lineRule="auto"/>
        <w:jc w:val="both"/>
        <w:rPr>
          <w:rFonts w:ascii="Arial" w:hAnsi="Arial" w:cs="Arial"/>
          <w:sz w:val="24"/>
          <w:szCs w:val="24"/>
        </w:rPr>
      </w:pPr>
    </w:p>
    <w:p w:rsidR="009C10FB" w:rsidRPr="00253131" w:rsidRDefault="009C10FB" w:rsidP="003F0C29">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One further aspect bears mention. It concerns what is required of a respondent to create a real, genuine or </w:t>
      </w:r>
      <w:r>
        <w:rPr>
          <w:rFonts w:ascii="Arial" w:hAnsi="Arial" w:cs="Arial"/>
          <w:i/>
          <w:sz w:val="24"/>
          <w:szCs w:val="24"/>
        </w:rPr>
        <w:t xml:space="preserve">bona </w:t>
      </w:r>
      <w:r w:rsidRPr="003F0C29">
        <w:rPr>
          <w:rFonts w:ascii="Arial" w:hAnsi="Arial" w:cs="Arial"/>
          <w:sz w:val="24"/>
          <w:szCs w:val="24"/>
        </w:rPr>
        <w:t>fide</w:t>
      </w:r>
      <w:r>
        <w:rPr>
          <w:rFonts w:ascii="Arial" w:hAnsi="Arial" w:cs="Arial"/>
          <w:sz w:val="24"/>
          <w:szCs w:val="24"/>
        </w:rPr>
        <w:t xml:space="preserve"> dispute of fact. In </w:t>
      </w:r>
      <w:r>
        <w:rPr>
          <w:rFonts w:ascii="Arial" w:hAnsi="Arial" w:cs="Arial"/>
          <w:i/>
          <w:sz w:val="24"/>
          <w:szCs w:val="24"/>
        </w:rPr>
        <w:t>Wightman t/a JW Construction v Headfour (Pty) Ltd &amp; another</w:t>
      </w:r>
      <w:r w:rsidRPr="00253131">
        <w:rPr>
          <w:rStyle w:val="FootnoteReference"/>
          <w:rFonts w:ascii="Arial" w:hAnsi="Arial" w:cs="Arial"/>
          <w:sz w:val="24"/>
          <w:szCs w:val="24"/>
        </w:rPr>
        <w:footnoteReference w:id="8"/>
      </w:r>
      <w:r>
        <w:rPr>
          <w:rFonts w:ascii="Arial" w:hAnsi="Arial" w:cs="Arial"/>
          <w:i/>
          <w:sz w:val="24"/>
          <w:szCs w:val="24"/>
        </w:rPr>
        <w:t xml:space="preserve"> </w:t>
      </w:r>
      <w:r>
        <w:rPr>
          <w:rFonts w:ascii="Arial" w:hAnsi="Arial" w:cs="Arial"/>
          <w:sz w:val="24"/>
          <w:szCs w:val="24"/>
        </w:rPr>
        <w:t>Heher JA stated:</w:t>
      </w:r>
    </w:p>
    <w:p w:rsidR="009C10FB" w:rsidRDefault="009C10FB" w:rsidP="003F0C29">
      <w:pPr>
        <w:spacing w:line="360" w:lineRule="auto"/>
        <w:jc w:val="both"/>
        <w:rPr>
          <w:rFonts w:ascii="Arial" w:hAnsi="Arial" w:cs="Arial"/>
          <w:sz w:val="24"/>
          <w:szCs w:val="24"/>
        </w:rPr>
      </w:pPr>
      <w:r>
        <w:rPr>
          <w:rFonts w:ascii="Arial" w:hAnsi="Arial" w:cs="Arial"/>
        </w:rPr>
        <w:t>‘</w:t>
      </w:r>
      <w:r w:rsidRPr="00253131">
        <w:rPr>
          <w:rFonts w:ascii="Arial" w:hAnsi="Arial" w:cs="Arial"/>
        </w:rPr>
        <w:t xml:space="preserve">A real, genuine and bona fide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w:t>
      </w:r>
      <w:r>
        <w:rPr>
          <w:rFonts w:ascii="Arial" w:hAnsi="Arial" w:cs="Arial"/>
        </w:rPr>
        <w:t>“</w:t>
      </w:r>
      <w:r w:rsidRPr="00253131">
        <w:rPr>
          <w:rFonts w:ascii="Arial" w:hAnsi="Arial" w:cs="Arial"/>
        </w:rPr>
        <w:t>generally</w:t>
      </w:r>
      <w:r>
        <w:rPr>
          <w:rFonts w:ascii="Arial" w:hAnsi="Arial" w:cs="Arial"/>
        </w:rPr>
        <w:t>”</w:t>
      </w:r>
      <w:r w:rsidRPr="00253131">
        <w:rPr>
          <w:rFonts w:ascii="Arial" w:hAnsi="Arial" w:cs="Arial"/>
        </w:rPr>
        <w:t xml:space="preserve"> because factual averments seldom stand apart from a broader matrix of circumstances all of which needs to be borne in mind when arriving at a decision. A litigant may not necessarily recognise or</w:t>
      </w:r>
      <w:r>
        <w:rPr>
          <w:rFonts w:ascii="Arial" w:hAnsi="Arial" w:cs="Arial"/>
        </w:rPr>
        <w:t xml:space="preserve"> </w:t>
      </w:r>
      <w:r w:rsidRPr="00253131">
        <w:rPr>
          <w:rFonts w:ascii="Arial" w:hAnsi="Arial" w:cs="Arial"/>
        </w:rPr>
        <w:t>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Pr>
          <w:rFonts w:ascii="Arial" w:hAnsi="Arial" w:cs="Arial"/>
        </w:rPr>
        <w:t>’</w:t>
      </w:r>
      <w:r>
        <w:rPr>
          <w:rFonts w:ascii="Arial" w:hAnsi="Arial" w:cs="Arial"/>
          <w:sz w:val="24"/>
          <w:szCs w:val="24"/>
        </w:rPr>
        <w:t xml:space="preserve"> </w:t>
      </w:r>
    </w:p>
    <w:p w:rsidR="009C10FB" w:rsidRDefault="009C10FB" w:rsidP="003F0C29">
      <w:pPr>
        <w:spacing w:line="360" w:lineRule="auto"/>
        <w:jc w:val="both"/>
        <w:rPr>
          <w:rFonts w:ascii="Arial" w:hAnsi="Arial" w:cs="Arial"/>
          <w:sz w:val="24"/>
          <w:szCs w:val="24"/>
        </w:rPr>
      </w:pPr>
    </w:p>
    <w:p w:rsidR="009C10FB" w:rsidRDefault="009C10FB" w:rsidP="003F0C29">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And, in </w:t>
      </w:r>
      <w:r>
        <w:rPr>
          <w:rFonts w:ascii="Arial" w:hAnsi="Arial" w:cs="Arial"/>
          <w:i/>
          <w:sz w:val="24"/>
          <w:szCs w:val="24"/>
        </w:rPr>
        <w:t>Naidoo &amp; another v Sunker &amp; others</w:t>
      </w:r>
      <w:r>
        <w:rPr>
          <w:rFonts w:ascii="Arial" w:hAnsi="Arial" w:cs="Arial"/>
          <w:sz w:val="24"/>
          <w:szCs w:val="24"/>
        </w:rPr>
        <w:t>,</w:t>
      </w:r>
      <w:r w:rsidRPr="009F7646">
        <w:rPr>
          <w:rStyle w:val="FootnoteReference"/>
          <w:rFonts w:ascii="Arial" w:hAnsi="Arial" w:cs="Arial"/>
          <w:sz w:val="24"/>
          <w:szCs w:val="24"/>
        </w:rPr>
        <w:footnoteReference w:id="9"/>
      </w:r>
      <w:r>
        <w:rPr>
          <w:rFonts w:ascii="Arial" w:hAnsi="Arial" w:cs="Arial"/>
          <w:i/>
          <w:sz w:val="24"/>
          <w:szCs w:val="24"/>
        </w:rPr>
        <w:t xml:space="preserve"> </w:t>
      </w:r>
      <w:r>
        <w:rPr>
          <w:rFonts w:ascii="Arial" w:hAnsi="Arial" w:cs="Arial"/>
          <w:sz w:val="24"/>
          <w:szCs w:val="24"/>
        </w:rPr>
        <w:t xml:space="preserve">Heher JA, after referring to his judgment in </w:t>
      </w:r>
      <w:r>
        <w:rPr>
          <w:rFonts w:ascii="Arial" w:hAnsi="Arial" w:cs="Arial"/>
          <w:i/>
          <w:sz w:val="24"/>
          <w:szCs w:val="24"/>
        </w:rPr>
        <w:t>Wightman</w:t>
      </w:r>
      <w:r>
        <w:rPr>
          <w:rFonts w:ascii="Arial" w:hAnsi="Arial" w:cs="Arial"/>
          <w:sz w:val="24"/>
          <w:szCs w:val="24"/>
        </w:rPr>
        <w:t xml:space="preserve">, stated that what he had said in that case about the adequacy of allegations in answering affidavits for purposes of the </w:t>
      </w:r>
      <w:r>
        <w:rPr>
          <w:rFonts w:ascii="Arial" w:hAnsi="Arial" w:cs="Arial"/>
          <w:i/>
          <w:sz w:val="24"/>
          <w:szCs w:val="24"/>
        </w:rPr>
        <w:t xml:space="preserve">Plascon-Evans </w:t>
      </w:r>
      <w:r>
        <w:rPr>
          <w:rFonts w:ascii="Arial" w:hAnsi="Arial" w:cs="Arial"/>
          <w:sz w:val="24"/>
          <w:szCs w:val="24"/>
        </w:rPr>
        <w:t>rule ‘applies with equal force to a respondent who endeavours to raise a special defence’.</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t xml:space="preserve">I turn now to consider the version put up by Nqini. In my view, it suffers from a number of difficulties. In the first place, the detail concerning every single aspect of the defence pleaded is extremely scanty. So, for instance, the arrangement between Nqini and Notshokovu is described in the vaguest of terms and it is not even clear from the affidavits whether Nqini had started to work at the club in King William’s Town. At best, the affidavits are ambiguous on this point. </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Secondly, the terms of the agreement that R260 000 would be advanced to Nqini are vague as well, particularly as to how the money would be repaid. All that is said is that ‘[a]ccording to our agreement, the Applicant would pay me back out of the business he generated for the club: market etc’. This is meaningless, especially when it is borne in mind that Nqini was a mere employee and not a partner in respect of the King William’s Town club. I would have expected a detailed explanation concerning the arrangements that may have been made to ascertain the value of the ‘business he generated for the club’, some structured arrangement for determining the quantum and regularity of the repayment, and what would happen if Nqini did not generate any business for the club. As Nqini was, as his duties were described by Notshokovu, nothing more than the office manager, it was obviously incumbent on Nqini and Notshokovu to explain how he was expected to generate business for the club if this was how he was to repay the advance. </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The absence of detail in all of these respects is telling, especially when there is no written record of the agreement. How Nqini was to operate the vehicle without a salary for ‘the first few months’ also cries out for explanation as does the question of how he managed to pay the monthly insurance policy of R1 596.24 and whether he paid Soloshe as his driver.</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Having taken close to four few months in order to secure the assistance of Notshokovu as a supporting witness, it would have been expected that Nqini would have made sure that he was provided with documentary proof of the money having been advanced by his friend and an explanation as to why it had been paid to him in cash, as it clearly had. If it had been in an account, Notshokovu would have been able to have shown the source of the money with ease and if not, I would have expected him to explain where it had come from. Absolutely no detail is provided as </w:t>
      </w:r>
      <w:r>
        <w:rPr>
          <w:rFonts w:ascii="Arial" w:hAnsi="Arial" w:cs="Arial"/>
          <w:sz w:val="24"/>
          <w:szCs w:val="24"/>
        </w:rPr>
        <w:lastRenderedPageBreak/>
        <w:t>to when and where Notshokovu gave Nqini the money and why R260 000 was decided upon as the advance. (One result of this lack of detail was that, according to the deponent to the replying affidavit on behalf of the NDPP, none of the bald allegations made in the answering affidavits could be verified.) The same criticism can be levelled at the allegations concerning the R27 000.</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In these circumstances, I am of the view that Nqini has not done sufficient to create a real, genuine or </w:t>
      </w:r>
      <w:r>
        <w:rPr>
          <w:rFonts w:ascii="Arial" w:hAnsi="Arial" w:cs="Arial"/>
          <w:i/>
          <w:sz w:val="24"/>
          <w:szCs w:val="24"/>
        </w:rPr>
        <w:t>bona fide</w:t>
      </w:r>
      <w:r>
        <w:rPr>
          <w:rFonts w:ascii="Arial" w:hAnsi="Arial" w:cs="Arial"/>
          <w:sz w:val="24"/>
          <w:szCs w:val="24"/>
        </w:rPr>
        <w:t xml:space="preserve"> dispute of fact as to the source of the R260 000 and the R27 000. As I am satisfied that the NDPP’s allegations as to the source of this money and Nqini’s role in its acquisition are inherently credible, I accept the correctness of those averments. </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In any event, I am also of the view that Nqini’s version is palpably implausible, far-fetched and clearly untenable. For that reason it can be rejected on the papers. When the facts that follow are stitched together, it stretches the bounds of credulity far too far to accept that Nqini could have acquired the money concerned legitimately. Those facts are that: (a) Nqini’s brother was dispossessed of a large sum of money on 21 November 2012; (b) in circumstances in which Nqini was one of only two people who could have gained entry to the house and disarmed the alarm;  (c) that he was unemployed and had been for about three years; (d) that, the very next day, he deposited 2 600 R100 notes into the account of Auto Executive in order to purchase a vehicle for R260 000; (e) that he was later found in possession of  R27 000 in cash; (f) his explanation is devoid of detail, is irrational and makes no sense; and (g) he gave no explanation of his possession of the money when he was arrested and had the opportunity to do so, and only did so some months later.</w:t>
      </w:r>
    </w:p>
    <w:p w:rsidR="009C10FB" w:rsidRDefault="009C10FB" w:rsidP="008C7B84">
      <w:pPr>
        <w:spacing w:line="360" w:lineRule="auto"/>
        <w:jc w:val="both"/>
        <w:rPr>
          <w:rFonts w:ascii="Arial" w:hAnsi="Arial" w:cs="Arial"/>
          <w:sz w:val="24"/>
          <w:szCs w:val="24"/>
        </w:rPr>
      </w:pPr>
      <w:r>
        <w:rPr>
          <w:rFonts w:ascii="Arial" w:hAnsi="Arial" w:cs="Arial"/>
          <w:sz w:val="24"/>
          <w:szCs w:val="24"/>
        </w:rPr>
        <w:t xml:space="preserve"> </w:t>
      </w:r>
    </w:p>
    <w:p w:rsidR="009C10FB" w:rsidRDefault="009C10FB" w:rsidP="008C7B84">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In these circumstances, I am of the view that the NDPP has discharged the onus to establish on a balance of probabilities that the property concerned was proceeds of illegal activities. The application must therefore succeed.</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u w:val="single"/>
        </w:rPr>
        <w:t>The order</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The following order is made.</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lastRenderedPageBreak/>
        <w:t>(a) A blue Audi motor vehicle with registration number FWV771EC, engine number BNS002668 and chassis number WUZZZ8E56N901011 and R27 000 in cash (the property), held under a case registered as Mount Road CAS 673/11/2012 are declared forfeit to the State in terms of section 50 of the Prevention of Organised Crime Act 121 of 1998.</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t xml:space="preserve">(b) Paragraph (e) below shall take effect 45 weekdays after publication in the </w:t>
      </w:r>
      <w:r>
        <w:rPr>
          <w:rFonts w:ascii="Arial" w:hAnsi="Arial" w:cs="Arial"/>
          <w:i/>
          <w:sz w:val="24"/>
          <w:szCs w:val="24"/>
        </w:rPr>
        <w:t xml:space="preserve">Government Gazette </w:t>
      </w:r>
      <w:r>
        <w:rPr>
          <w:rFonts w:ascii="Arial" w:hAnsi="Arial" w:cs="Arial"/>
          <w:sz w:val="24"/>
          <w:szCs w:val="24"/>
        </w:rPr>
        <w:t>of this order, unless an appeal is instituted before this time in which case this order shall take effect on the finalisation of the appeal, in the event of it being dismissed.</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t>(c) Glyn Fraser, who was appointed in the preservation order to take care of the property is directed to continue acting as such for the purposes of this order.</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t>(d) Pending the taking effect of this order, the property shall remain in the custody of Fraser, who shall have authority to sign all registration documents pertaining to the property.</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t>(e) After this order takes effect, as contemplated in paragraph (b) above, Fraser shall cause the Audi motor vehicle to be sold by private sale or public auction and the proceeds of this sale as well as the R27 000 in cash shall be paid to Dr Bongani Nqini.</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t>(f) Payment to Dr Bongani Nqini shall be regarded as payment to the State.</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t xml:space="preserve">(g) The applicant is directed to publish a notice of this order in the </w:t>
      </w:r>
      <w:r>
        <w:rPr>
          <w:rFonts w:ascii="Arial" w:hAnsi="Arial" w:cs="Arial"/>
          <w:i/>
          <w:sz w:val="24"/>
          <w:szCs w:val="24"/>
        </w:rPr>
        <w:t>Government Gazette</w:t>
      </w:r>
      <w:r>
        <w:rPr>
          <w:rFonts w:ascii="Arial" w:hAnsi="Arial" w:cs="Arial"/>
          <w:sz w:val="24"/>
          <w:szCs w:val="24"/>
        </w:rPr>
        <w:t xml:space="preserve"> as soon as is practicable and to serve a copy of the order on the respondent.</w:t>
      </w:r>
    </w:p>
    <w:p w:rsidR="009C10FB" w:rsidRDefault="009C10FB" w:rsidP="00183921">
      <w:pPr>
        <w:spacing w:line="360" w:lineRule="auto"/>
        <w:ind w:left="720"/>
        <w:jc w:val="both"/>
        <w:rPr>
          <w:rFonts w:ascii="Arial" w:hAnsi="Arial" w:cs="Arial"/>
          <w:sz w:val="24"/>
          <w:szCs w:val="24"/>
        </w:rPr>
      </w:pPr>
      <w:r>
        <w:rPr>
          <w:rFonts w:ascii="Arial" w:hAnsi="Arial" w:cs="Arial"/>
          <w:sz w:val="24"/>
          <w:szCs w:val="24"/>
        </w:rPr>
        <w:t>(h) The respondent is directed to pay the costs of this application.</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_____________________</w:t>
      </w:r>
    </w:p>
    <w:p w:rsidR="009C10FB" w:rsidRDefault="009C10FB" w:rsidP="008C7B84">
      <w:pPr>
        <w:spacing w:line="360" w:lineRule="auto"/>
        <w:jc w:val="both"/>
        <w:rPr>
          <w:rFonts w:ascii="Arial" w:hAnsi="Arial" w:cs="Arial"/>
          <w:sz w:val="24"/>
          <w:szCs w:val="24"/>
        </w:rPr>
      </w:pPr>
      <w:r>
        <w:rPr>
          <w:rFonts w:ascii="Arial" w:hAnsi="Arial" w:cs="Arial"/>
          <w:sz w:val="24"/>
          <w:szCs w:val="24"/>
        </w:rPr>
        <w:t>C Plasket</w:t>
      </w:r>
    </w:p>
    <w:p w:rsidR="009C10FB" w:rsidRDefault="009C10FB" w:rsidP="008C7B84">
      <w:pPr>
        <w:spacing w:line="360" w:lineRule="auto"/>
        <w:jc w:val="both"/>
        <w:rPr>
          <w:rFonts w:ascii="Arial" w:hAnsi="Arial" w:cs="Arial"/>
          <w:sz w:val="24"/>
          <w:szCs w:val="24"/>
        </w:rPr>
      </w:pPr>
      <w:r>
        <w:rPr>
          <w:rFonts w:ascii="Arial" w:hAnsi="Arial" w:cs="Arial"/>
          <w:sz w:val="24"/>
          <w:szCs w:val="24"/>
        </w:rPr>
        <w:t>Judge of the High Court</w:t>
      </w:r>
    </w:p>
    <w:p w:rsidR="009C10FB" w:rsidRDefault="009C10FB" w:rsidP="008C7B84">
      <w:pPr>
        <w:spacing w:line="360" w:lineRule="auto"/>
        <w:jc w:val="both"/>
        <w:rPr>
          <w:rFonts w:ascii="Arial" w:hAnsi="Arial" w:cs="Arial"/>
          <w:sz w:val="24"/>
          <w:szCs w:val="24"/>
        </w:rPr>
      </w:pPr>
    </w:p>
    <w:p w:rsidR="009C10FB" w:rsidRDefault="009C10FB" w:rsidP="008C7B84">
      <w:pPr>
        <w:spacing w:line="360" w:lineRule="auto"/>
        <w:jc w:val="both"/>
        <w:rPr>
          <w:rFonts w:ascii="Arial" w:hAnsi="Arial" w:cs="Arial"/>
          <w:sz w:val="24"/>
          <w:szCs w:val="24"/>
        </w:rPr>
      </w:pPr>
      <w:r>
        <w:rPr>
          <w:rFonts w:ascii="Arial" w:hAnsi="Arial" w:cs="Arial"/>
          <w:sz w:val="24"/>
          <w:szCs w:val="24"/>
        </w:rPr>
        <w:t>APPEARANCES:</w:t>
      </w:r>
    </w:p>
    <w:p w:rsidR="009C10FB" w:rsidRDefault="009C10FB" w:rsidP="008C7B84">
      <w:pPr>
        <w:spacing w:line="360" w:lineRule="auto"/>
        <w:jc w:val="both"/>
        <w:rPr>
          <w:rFonts w:ascii="Arial" w:hAnsi="Arial" w:cs="Arial"/>
          <w:sz w:val="24"/>
          <w:szCs w:val="24"/>
        </w:rPr>
      </w:pPr>
      <w:r>
        <w:rPr>
          <w:rFonts w:ascii="Arial" w:hAnsi="Arial" w:cs="Arial"/>
          <w:sz w:val="24"/>
          <w:szCs w:val="24"/>
        </w:rPr>
        <w:t>Applicant: S J Cubungu, instructed by the State At</w:t>
      </w:r>
      <w:bookmarkStart w:id="0" w:name="_GoBack"/>
      <w:bookmarkEnd w:id="0"/>
      <w:r>
        <w:rPr>
          <w:rFonts w:ascii="Arial" w:hAnsi="Arial" w:cs="Arial"/>
          <w:sz w:val="24"/>
          <w:szCs w:val="24"/>
        </w:rPr>
        <w:t>torney</w:t>
      </w:r>
    </w:p>
    <w:p w:rsidR="009C10FB" w:rsidRPr="00183921" w:rsidRDefault="009C10FB" w:rsidP="008C7B84">
      <w:pPr>
        <w:spacing w:line="360" w:lineRule="auto"/>
        <w:jc w:val="both"/>
        <w:rPr>
          <w:rFonts w:ascii="Arial" w:hAnsi="Arial" w:cs="Arial"/>
          <w:sz w:val="24"/>
          <w:szCs w:val="24"/>
        </w:rPr>
      </w:pPr>
      <w:r>
        <w:rPr>
          <w:rFonts w:ascii="Arial" w:hAnsi="Arial" w:cs="Arial"/>
          <w:sz w:val="24"/>
          <w:szCs w:val="24"/>
        </w:rPr>
        <w:t>Respondent: N Msizi, instructed by S B Maqungu Attorneys</w:t>
      </w:r>
    </w:p>
    <w:p w:rsidR="009C10FB" w:rsidRPr="008C7B84" w:rsidRDefault="009C10FB" w:rsidP="008C7B84">
      <w:pPr>
        <w:spacing w:line="360" w:lineRule="auto"/>
        <w:jc w:val="both"/>
        <w:rPr>
          <w:rFonts w:ascii="Arial" w:hAnsi="Arial" w:cs="Arial"/>
          <w:sz w:val="24"/>
          <w:szCs w:val="24"/>
        </w:rPr>
      </w:pPr>
      <w:r>
        <w:rPr>
          <w:rFonts w:ascii="Arial" w:hAnsi="Arial" w:cs="Arial"/>
          <w:sz w:val="24"/>
          <w:szCs w:val="24"/>
        </w:rPr>
        <w:t xml:space="preserve">   </w:t>
      </w:r>
    </w:p>
    <w:sectPr w:rsidR="009C10FB" w:rsidRPr="008C7B84" w:rsidSect="001609BD">
      <w:headerReference w:type="default" r:id="rId6"/>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CB" w:rsidRDefault="00EF4BCB" w:rsidP="009B08D2">
      <w:r>
        <w:separator/>
      </w:r>
    </w:p>
  </w:endnote>
  <w:endnote w:type="continuationSeparator" w:id="1">
    <w:p w:rsidR="00EF4BCB" w:rsidRDefault="00EF4BCB" w:rsidP="009B0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CB" w:rsidRDefault="00EF4BCB" w:rsidP="009B08D2">
      <w:r>
        <w:separator/>
      </w:r>
    </w:p>
  </w:footnote>
  <w:footnote w:type="continuationSeparator" w:id="1">
    <w:p w:rsidR="00EF4BCB" w:rsidRDefault="00EF4BCB" w:rsidP="009B08D2">
      <w:r>
        <w:continuationSeparator/>
      </w:r>
    </w:p>
  </w:footnote>
  <w:footnote w:id="2">
    <w:p w:rsidR="009C10FB" w:rsidRDefault="009C10FB" w:rsidP="00BD0FDA">
      <w:pPr>
        <w:pStyle w:val="FootnoteText"/>
        <w:jc w:val="both"/>
      </w:pPr>
      <w:r>
        <w:rPr>
          <w:rStyle w:val="FootnoteReference"/>
        </w:rPr>
        <w:footnoteRef/>
      </w:r>
      <w:r>
        <w:t xml:space="preserve"> </w:t>
      </w:r>
      <w:r>
        <w:rPr>
          <w:rFonts w:ascii="Arial" w:hAnsi="Arial" w:cs="Arial"/>
          <w:i/>
        </w:rPr>
        <w:t xml:space="preserve">National Director of Public Prosecutions &amp; another v Mohamed NO &amp; others </w:t>
      </w:r>
      <w:r>
        <w:rPr>
          <w:rFonts w:ascii="Arial" w:hAnsi="Arial" w:cs="Arial"/>
        </w:rPr>
        <w:t>2003 (4) SA 1 (CC) para 16.</w:t>
      </w:r>
    </w:p>
  </w:footnote>
  <w:footnote w:id="3">
    <w:p w:rsidR="009C10FB" w:rsidRDefault="009C10FB" w:rsidP="00BD0FDA">
      <w:pPr>
        <w:pStyle w:val="FootnoteText"/>
        <w:jc w:val="both"/>
      </w:pPr>
      <w:r>
        <w:rPr>
          <w:rStyle w:val="FootnoteReference"/>
        </w:rPr>
        <w:footnoteRef/>
      </w:r>
      <w:r>
        <w:t xml:space="preserve"> </w:t>
      </w:r>
      <w:r>
        <w:rPr>
          <w:rFonts w:ascii="Arial" w:hAnsi="Arial" w:cs="Arial"/>
          <w:i/>
        </w:rPr>
        <w:t>National Director of Public Prosecutions v R O Cooke Properties (Pty) Ltd; National Director of Public Prosecutions v 37 Gillespie Street Durban (Pty) Ltd &amp; another; National Director of Public Prosecutions v Seevnarayan</w:t>
      </w:r>
      <w:r>
        <w:rPr>
          <w:rFonts w:ascii="Arial" w:hAnsi="Arial" w:cs="Arial"/>
        </w:rPr>
        <w:t xml:space="preserve"> [2004] 2 All SA 491 (SCA) paras 20-21.</w:t>
      </w:r>
    </w:p>
  </w:footnote>
  <w:footnote w:id="4">
    <w:p w:rsidR="009C10FB" w:rsidRDefault="009C10FB" w:rsidP="00F43CF5">
      <w:pPr>
        <w:pStyle w:val="FootnoteText"/>
        <w:jc w:val="both"/>
      </w:pPr>
      <w:r>
        <w:rPr>
          <w:rStyle w:val="FootnoteReference"/>
        </w:rPr>
        <w:footnoteRef/>
      </w:r>
      <w:r>
        <w:t xml:space="preserve"> </w:t>
      </w:r>
      <w:r>
        <w:rPr>
          <w:rFonts w:ascii="Arial" w:hAnsi="Arial" w:cs="Arial"/>
          <w:i/>
        </w:rPr>
        <w:t>Plascon-Evans Paints Ltd v Van Riebeeck Paints (Pty) Ltd</w:t>
      </w:r>
      <w:r>
        <w:rPr>
          <w:rFonts w:ascii="Arial" w:hAnsi="Arial" w:cs="Arial"/>
        </w:rPr>
        <w:t xml:space="preserve"> 1984 (3) SA 623 (A) at 634H.</w:t>
      </w:r>
    </w:p>
  </w:footnote>
  <w:footnote w:id="5">
    <w:p w:rsidR="009C10FB" w:rsidRDefault="009C10FB" w:rsidP="00142AE9">
      <w:pPr>
        <w:pStyle w:val="FootnoteText"/>
        <w:jc w:val="both"/>
      </w:pPr>
      <w:r>
        <w:rPr>
          <w:rStyle w:val="FootnoteReference"/>
        </w:rPr>
        <w:footnoteRef/>
      </w:r>
      <w:r>
        <w:t xml:space="preserve"> </w:t>
      </w:r>
      <w:r>
        <w:rPr>
          <w:rFonts w:ascii="Arial" w:hAnsi="Arial" w:cs="Arial"/>
          <w:i/>
        </w:rPr>
        <w:t>Plascon-Evans</w:t>
      </w:r>
      <w:r>
        <w:rPr>
          <w:rFonts w:ascii="Arial" w:hAnsi="Arial" w:cs="Arial"/>
        </w:rPr>
        <w:t xml:space="preserve"> at 634I.</w:t>
      </w:r>
    </w:p>
  </w:footnote>
  <w:footnote w:id="6">
    <w:p w:rsidR="009C10FB" w:rsidRDefault="009C10FB" w:rsidP="00142AE9">
      <w:pPr>
        <w:pStyle w:val="FootnoteText"/>
        <w:jc w:val="both"/>
      </w:pPr>
      <w:r>
        <w:rPr>
          <w:rStyle w:val="FootnoteReference"/>
        </w:rPr>
        <w:footnoteRef/>
      </w:r>
      <w:r>
        <w:t xml:space="preserve"> </w:t>
      </w:r>
      <w:r>
        <w:rPr>
          <w:rFonts w:ascii="Arial" w:hAnsi="Arial" w:cs="Arial"/>
          <w:i/>
        </w:rPr>
        <w:t>Plascon-Evans</w:t>
      </w:r>
      <w:r>
        <w:rPr>
          <w:rFonts w:ascii="Arial" w:hAnsi="Arial" w:cs="Arial"/>
        </w:rPr>
        <w:t xml:space="preserve"> at 635A-C.</w:t>
      </w:r>
    </w:p>
  </w:footnote>
  <w:footnote w:id="7">
    <w:p w:rsidR="009C10FB" w:rsidRDefault="009C10FB" w:rsidP="00F808E0">
      <w:pPr>
        <w:pStyle w:val="FootnoteText"/>
        <w:jc w:val="both"/>
      </w:pPr>
      <w:r>
        <w:rPr>
          <w:rStyle w:val="FootnoteReference"/>
        </w:rPr>
        <w:footnoteRef/>
      </w:r>
      <w:r>
        <w:t xml:space="preserve"> </w:t>
      </w:r>
      <w:r>
        <w:rPr>
          <w:rFonts w:ascii="Arial" w:hAnsi="Arial" w:cs="Arial"/>
          <w:i/>
        </w:rPr>
        <w:t>National Director of Public Prosecutions v Zuma</w:t>
      </w:r>
      <w:r>
        <w:rPr>
          <w:rFonts w:ascii="Arial" w:hAnsi="Arial" w:cs="Arial"/>
        </w:rPr>
        <w:t xml:space="preserve"> 2009 (2) SA 277 (SCA) para 26.</w:t>
      </w:r>
    </w:p>
  </w:footnote>
  <w:footnote w:id="8">
    <w:p w:rsidR="009C10FB" w:rsidRDefault="009C10FB" w:rsidP="003F0C29">
      <w:pPr>
        <w:pStyle w:val="FootnoteText"/>
        <w:jc w:val="both"/>
      </w:pPr>
      <w:r>
        <w:rPr>
          <w:rStyle w:val="FootnoteReference"/>
        </w:rPr>
        <w:footnoteRef/>
      </w:r>
      <w:r>
        <w:t xml:space="preserve"> </w:t>
      </w:r>
      <w:r>
        <w:rPr>
          <w:rFonts w:ascii="Arial" w:hAnsi="Arial" w:cs="Arial"/>
          <w:i/>
        </w:rPr>
        <w:t>Wightman t/a JW Construction v Headfour (Pty) Ltd &amp; another</w:t>
      </w:r>
      <w:r>
        <w:rPr>
          <w:rFonts w:ascii="Arial" w:hAnsi="Arial" w:cs="Arial"/>
        </w:rPr>
        <w:t xml:space="preserve"> 2008 (3) SA 371 (SCA) para 13.</w:t>
      </w:r>
    </w:p>
  </w:footnote>
  <w:footnote w:id="9">
    <w:p w:rsidR="009C10FB" w:rsidRDefault="009C10FB" w:rsidP="003F0C29">
      <w:pPr>
        <w:pStyle w:val="FootnoteText"/>
        <w:jc w:val="both"/>
      </w:pPr>
      <w:r>
        <w:rPr>
          <w:rStyle w:val="FootnoteReference"/>
        </w:rPr>
        <w:footnoteRef/>
      </w:r>
      <w:r>
        <w:t xml:space="preserve"> </w:t>
      </w:r>
      <w:r>
        <w:rPr>
          <w:rFonts w:ascii="Arial" w:hAnsi="Arial" w:cs="Arial"/>
          <w:i/>
        </w:rPr>
        <w:t>Naidoo &amp; another v Sunker &amp; others</w:t>
      </w:r>
      <w:r>
        <w:rPr>
          <w:rFonts w:ascii="Arial" w:hAnsi="Arial" w:cs="Arial"/>
        </w:rPr>
        <w:t xml:space="preserve"> (126/11) [2011] ZASCA 216 (29 November 2011) para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FB" w:rsidRDefault="00AD5BA4">
    <w:pPr>
      <w:pStyle w:val="Header"/>
      <w:jc w:val="right"/>
    </w:pPr>
    <w:fldSimple w:instr=" PAGE   \* MERGEFORMAT ">
      <w:r w:rsidR="006521EF">
        <w:rPr>
          <w:noProof/>
        </w:rPr>
        <w:t>1</w:t>
      </w:r>
    </w:fldSimple>
  </w:p>
  <w:p w:rsidR="009C10FB" w:rsidRDefault="009C10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7405"/>
    <w:rsid w:val="000101E7"/>
    <w:rsid w:val="000166BD"/>
    <w:rsid w:val="00021711"/>
    <w:rsid w:val="000235C5"/>
    <w:rsid w:val="00030F46"/>
    <w:rsid w:val="0003461B"/>
    <w:rsid w:val="0003709A"/>
    <w:rsid w:val="00042604"/>
    <w:rsid w:val="000459BF"/>
    <w:rsid w:val="00046374"/>
    <w:rsid w:val="00050065"/>
    <w:rsid w:val="000575EC"/>
    <w:rsid w:val="000579BA"/>
    <w:rsid w:val="000648DA"/>
    <w:rsid w:val="00064CA9"/>
    <w:rsid w:val="00066C8E"/>
    <w:rsid w:val="00075D5F"/>
    <w:rsid w:val="00077E66"/>
    <w:rsid w:val="00081CFB"/>
    <w:rsid w:val="00084502"/>
    <w:rsid w:val="00087B0F"/>
    <w:rsid w:val="00094C61"/>
    <w:rsid w:val="00095A5A"/>
    <w:rsid w:val="000A45CC"/>
    <w:rsid w:val="000B0244"/>
    <w:rsid w:val="000B1F7D"/>
    <w:rsid w:val="000B441F"/>
    <w:rsid w:val="000B5B20"/>
    <w:rsid w:val="000B5C90"/>
    <w:rsid w:val="000C072C"/>
    <w:rsid w:val="000C24FC"/>
    <w:rsid w:val="000C3F3E"/>
    <w:rsid w:val="000D3BE3"/>
    <w:rsid w:val="000D77E0"/>
    <w:rsid w:val="000E4D89"/>
    <w:rsid w:val="000E78CA"/>
    <w:rsid w:val="000F60B3"/>
    <w:rsid w:val="00104B87"/>
    <w:rsid w:val="001071F9"/>
    <w:rsid w:val="00115BC6"/>
    <w:rsid w:val="00116E0F"/>
    <w:rsid w:val="001207A0"/>
    <w:rsid w:val="00121B18"/>
    <w:rsid w:val="001331FD"/>
    <w:rsid w:val="00142AE9"/>
    <w:rsid w:val="001471CA"/>
    <w:rsid w:val="001609BD"/>
    <w:rsid w:val="00165F5D"/>
    <w:rsid w:val="0016666F"/>
    <w:rsid w:val="0016739E"/>
    <w:rsid w:val="0017008A"/>
    <w:rsid w:val="00170748"/>
    <w:rsid w:val="00172B06"/>
    <w:rsid w:val="00175D4C"/>
    <w:rsid w:val="00183245"/>
    <w:rsid w:val="00183921"/>
    <w:rsid w:val="001842FD"/>
    <w:rsid w:val="00185C49"/>
    <w:rsid w:val="00187593"/>
    <w:rsid w:val="00187C08"/>
    <w:rsid w:val="00197BB8"/>
    <w:rsid w:val="001A23C3"/>
    <w:rsid w:val="001A2B78"/>
    <w:rsid w:val="001A3564"/>
    <w:rsid w:val="001A568E"/>
    <w:rsid w:val="001A581F"/>
    <w:rsid w:val="001A7A27"/>
    <w:rsid w:val="001B15E0"/>
    <w:rsid w:val="001B4C6B"/>
    <w:rsid w:val="001B599D"/>
    <w:rsid w:val="001C0169"/>
    <w:rsid w:val="001C27EC"/>
    <w:rsid w:val="001C3131"/>
    <w:rsid w:val="001C44F3"/>
    <w:rsid w:val="001D2CFC"/>
    <w:rsid w:val="001D545E"/>
    <w:rsid w:val="001D71AB"/>
    <w:rsid w:val="001D7DFC"/>
    <w:rsid w:val="001E18DD"/>
    <w:rsid w:val="001E5E26"/>
    <w:rsid w:val="001F2750"/>
    <w:rsid w:val="001F714D"/>
    <w:rsid w:val="002045D6"/>
    <w:rsid w:val="00204D0D"/>
    <w:rsid w:val="00204DAE"/>
    <w:rsid w:val="00205656"/>
    <w:rsid w:val="00207F56"/>
    <w:rsid w:val="00212E98"/>
    <w:rsid w:val="00221086"/>
    <w:rsid w:val="0022390F"/>
    <w:rsid w:val="00224652"/>
    <w:rsid w:val="0022794D"/>
    <w:rsid w:val="00227D45"/>
    <w:rsid w:val="00230D0D"/>
    <w:rsid w:val="00231FE0"/>
    <w:rsid w:val="0024102B"/>
    <w:rsid w:val="00246112"/>
    <w:rsid w:val="00253131"/>
    <w:rsid w:val="0025658A"/>
    <w:rsid w:val="00260CB7"/>
    <w:rsid w:val="00264AC9"/>
    <w:rsid w:val="00267E5C"/>
    <w:rsid w:val="00270D25"/>
    <w:rsid w:val="0027470A"/>
    <w:rsid w:val="0027553B"/>
    <w:rsid w:val="00281E24"/>
    <w:rsid w:val="00285CBF"/>
    <w:rsid w:val="0029268C"/>
    <w:rsid w:val="00294603"/>
    <w:rsid w:val="00296B97"/>
    <w:rsid w:val="00297F2E"/>
    <w:rsid w:val="002A2E67"/>
    <w:rsid w:val="002A2F8E"/>
    <w:rsid w:val="002A4093"/>
    <w:rsid w:val="002B1989"/>
    <w:rsid w:val="002B4370"/>
    <w:rsid w:val="002C20B3"/>
    <w:rsid w:val="002C2D88"/>
    <w:rsid w:val="002D5F76"/>
    <w:rsid w:val="002E018A"/>
    <w:rsid w:val="002E3078"/>
    <w:rsid w:val="002F5441"/>
    <w:rsid w:val="002F7D3A"/>
    <w:rsid w:val="00300F47"/>
    <w:rsid w:val="0030407A"/>
    <w:rsid w:val="0031001F"/>
    <w:rsid w:val="003114FE"/>
    <w:rsid w:val="00311609"/>
    <w:rsid w:val="003119F5"/>
    <w:rsid w:val="00323096"/>
    <w:rsid w:val="00323960"/>
    <w:rsid w:val="00337443"/>
    <w:rsid w:val="00340E40"/>
    <w:rsid w:val="003449D4"/>
    <w:rsid w:val="003457BA"/>
    <w:rsid w:val="00351DF4"/>
    <w:rsid w:val="0035272B"/>
    <w:rsid w:val="003560A9"/>
    <w:rsid w:val="00357D25"/>
    <w:rsid w:val="00366D8D"/>
    <w:rsid w:val="003709E6"/>
    <w:rsid w:val="0038063E"/>
    <w:rsid w:val="00380D0E"/>
    <w:rsid w:val="003836CF"/>
    <w:rsid w:val="003837FE"/>
    <w:rsid w:val="00386D57"/>
    <w:rsid w:val="00395021"/>
    <w:rsid w:val="003A0B35"/>
    <w:rsid w:val="003A7A18"/>
    <w:rsid w:val="003B0F81"/>
    <w:rsid w:val="003B5E35"/>
    <w:rsid w:val="003D10B3"/>
    <w:rsid w:val="003D2B87"/>
    <w:rsid w:val="003F0C29"/>
    <w:rsid w:val="003F22F7"/>
    <w:rsid w:val="00401197"/>
    <w:rsid w:val="00403BEC"/>
    <w:rsid w:val="00413164"/>
    <w:rsid w:val="004143CE"/>
    <w:rsid w:val="00416EC4"/>
    <w:rsid w:val="0042286E"/>
    <w:rsid w:val="00425B40"/>
    <w:rsid w:val="00426EB5"/>
    <w:rsid w:val="0043211C"/>
    <w:rsid w:val="00433CC5"/>
    <w:rsid w:val="004358BD"/>
    <w:rsid w:val="0045189E"/>
    <w:rsid w:val="00455F52"/>
    <w:rsid w:val="004668AF"/>
    <w:rsid w:val="00466F94"/>
    <w:rsid w:val="0046773F"/>
    <w:rsid w:val="00483128"/>
    <w:rsid w:val="00487A94"/>
    <w:rsid w:val="004935FB"/>
    <w:rsid w:val="0049481B"/>
    <w:rsid w:val="0049626E"/>
    <w:rsid w:val="004A2640"/>
    <w:rsid w:val="004A7268"/>
    <w:rsid w:val="004B12DF"/>
    <w:rsid w:val="004B32DA"/>
    <w:rsid w:val="004C024C"/>
    <w:rsid w:val="004C1E14"/>
    <w:rsid w:val="004C50D8"/>
    <w:rsid w:val="004C7F82"/>
    <w:rsid w:val="004D12CE"/>
    <w:rsid w:val="004D350A"/>
    <w:rsid w:val="004D6FCB"/>
    <w:rsid w:val="004E31C0"/>
    <w:rsid w:val="004E498F"/>
    <w:rsid w:val="004E6EDA"/>
    <w:rsid w:val="004E7162"/>
    <w:rsid w:val="004F5C34"/>
    <w:rsid w:val="004F5EA5"/>
    <w:rsid w:val="004F6CAA"/>
    <w:rsid w:val="004F71C3"/>
    <w:rsid w:val="004F7407"/>
    <w:rsid w:val="0050118E"/>
    <w:rsid w:val="00506C5A"/>
    <w:rsid w:val="00506D9A"/>
    <w:rsid w:val="005130CC"/>
    <w:rsid w:val="00514660"/>
    <w:rsid w:val="0051531B"/>
    <w:rsid w:val="00517A5A"/>
    <w:rsid w:val="00524C7F"/>
    <w:rsid w:val="00526EFD"/>
    <w:rsid w:val="005342CE"/>
    <w:rsid w:val="00534CCA"/>
    <w:rsid w:val="00535041"/>
    <w:rsid w:val="00535152"/>
    <w:rsid w:val="00544017"/>
    <w:rsid w:val="00547267"/>
    <w:rsid w:val="0054730E"/>
    <w:rsid w:val="005534BB"/>
    <w:rsid w:val="00553697"/>
    <w:rsid w:val="00557986"/>
    <w:rsid w:val="0056035C"/>
    <w:rsid w:val="00570B4A"/>
    <w:rsid w:val="005772B8"/>
    <w:rsid w:val="005962FD"/>
    <w:rsid w:val="005A0191"/>
    <w:rsid w:val="005A431A"/>
    <w:rsid w:val="005B1256"/>
    <w:rsid w:val="005B31DD"/>
    <w:rsid w:val="005C1B07"/>
    <w:rsid w:val="005C1C42"/>
    <w:rsid w:val="005C45FC"/>
    <w:rsid w:val="005C710D"/>
    <w:rsid w:val="005D44F3"/>
    <w:rsid w:val="005D4CCB"/>
    <w:rsid w:val="005D6475"/>
    <w:rsid w:val="005E2927"/>
    <w:rsid w:val="005E3C24"/>
    <w:rsid w:val="005E444D"/>
    <w:rsid w:val="005F7FB9"/>
    <w:rsid w:val="00603D90"/>
    <w:rsid w:val="00606CCD"/>
    <w:rsid w:val="00622B0C"/>
    <w:rsid w:val="006257F2"/>
    <w:rsid w:val="00630F57"/>
    <w:rsid w:val="0063223C"/>
    <w:rsid w:val="006322EC"/>
    <w:rsid w:val="00633E81"/>
    <w:rsid w:val="00633EE8"/>
    <w:rsid w:val="00646A89"/>
    <w:rsid w:val="00650167"/>
    <w:rsid w:val="0065148B"/>
    <w:rsid w:val="006521EF"/>
    <w:rsid w:val="006526AC"/>
    <w:rsid w:val="00657049"/>
    <w:rsid w:val="00662208"/>
    <w:rsid w:val="00662CD3"/>
    <w:rsid w:val="00665844"/>
    <w:rsid w:val="006713B9"/>
    <w:rsid w:val="006720C1"/>
    <w:rsid w:val="00672266"/>
    <w:rsid w:val="00672366"/>
    <w:rsid w:val="00672AB2"/>
    <w:rsid w:val="00673333"/>
    <w:rsid w:val="00677387"/>
    <w:rsid w:val="00683BB6"/>
    <w:rsid w:val="00686B8A"/>
    <w:rsid w:val="00690287"/>
    <w:rsid w:val="00693EBD"/>
    <w:rsid w:val="00695DB8"/>
    <w:rsid w:val="006978FE"/>
    <w:rsid w:val="006A0C33"/>
    <w:rsid w:val="006A0D6C"/>
    <w:rsid w:val="006A13E4"/>
    <w:rsid w:val="006A260B"/>
    <w:rsid w:val="006A7117"/>
    <w:rsid w:val="006B1715"/>
    <w:rsid w:val="006B39B0"/>
    <w:rsid w:val="006B6A5E"/>
    <w:rsid w:val="006D74B8"/>
    <w:rsid w:val="006E32D0"/>
    <w:rsid w:val="006E6906"/>
    <w:rsid w:val="006F1E03"/>
    <w:rsid w:val="006F2A17"/>
    <w:rsid w:val="006F3ABB"/>
    <w:rsid w:val="006F7A6A"/>
    <w:rsid w:val="00710339"/>
    <w:rsid w:val="00717565"/>
    <w:rsid w:val="00721743"/>
    <w:rsid w:val="00722573"/>
    <w:rsid w:val="00722786"/>
    <w:rsid w:val="00727F65"/>
    <w:rsid w:val="00732C45"/>
    <w:rsid w:val="00734E47"/>
    <w:rsid w:val="0074570C"/>
    <w:rsid w:val="0074645B"/>
    <w:rsid w:val="00757EAF"/>
    <w:rsid w:val="00761A31"/>
    <w:rsid w:val="00764955"/>
    <w:rsid w:val="00771BCF"/>
    <w:rsid w:val="007724FC"/>
    <w:rsid w:val="007738EA"/>
    <w:rsid w:val="00782298"/>
    <w:rsid w:val="00797266"/>
    <w:rsid w:val="007A0829"/>
    <w:rsid w:val="007A1311"/>
    <w:rsid w:val="007A1B4F"/>
    <w:rsid w:val="007A20D6"/>
    <w:rsid w:val="007A246A"/>
    <w:rsid w:val="007A2784"/>
    <w:rsid w:val="007A2D67"/>
    <w:rsid w:val="007A369C"/>
    <w:rsid w:val="007A3827"/>
    <w:rsid w:val="007A3B9B"/>
    <w:rsid w:val="007A3FB0"/>
    <w:rsid w:val="007A4CF0"/>
    <w:rsid w:val="007A5D12"/>
    <w:rsid w:val="007A748C"/>
    <w:rsid w:val="007A79C7"/>
    <w:rsid w:val="007B0CF0"/>
    <w:rsid w:val="007B12F5"/>
    <w:rsid w:val="007B6DB1"/>
    <w:rsid w:val="007B7C87"/>
    <w:rsid w:val="007C7C89"/>
    <w:rsid w:val="007D64FD"/>
    <w:rsid w:val="007D73A1"/>
    <w:rsid w:val="007F04E9"/>
    <w:rsid w:val="007F0A0D"/>
    <w:rsid w:val="007F767C"/>
    <w:rsid w:val="007F77EF"/>
    <w:rsid w:val="007F7BA4"/>
    <w:rsid w:val="008003DD"/>
    <w:rsid w:val="008020A0"/>
    <w:rsid w:val="00807305"/>
    <w:rsid w:val="00825552"/>
    <w:rsid w:val="00826BDA"/>
    <w:rsid w:val="00833A04"/>
    <w:rsid w:val="00834658"/>
    <w:rsid w:val="0084025F"/>
    <w:rsid w:val="00842DC5"/>
    <w:rsid w:val="00845652"/>
    <w:rsid w:val="00846F80"/>
    <w:rsid w:val="00855895"/>
    <w:rsid w:val="00857AE4"/>
    <w:rsid w:val="008640B2"/>
    <w:rsid w:val="008720B8"/>
    <w:rsid w:val="00872A3A"/>
    <w:rsid w:val="00873D9D"/>
    <w:rsid w:val="00876D85"/>
    <w:rsid w:val="00877225"/>
    <w:rsid w:val="00880C2D"/>
    <w:rsid w:val="00881797"/>
    <w:rsid w:val="00885EF0"/>
    <w:rsid w:val="00895B46"/>
    <w:rsid w:val="008A11B0"/>
    <w:rsid w:val="008C7B84"/>
    <w:rsid w:val="008D147B"/>
    <w:rsid w:val="008D1865"/>
    <w:rsid w:val="008D6BF6"/>
    <w:rsid w:val="008F4C04"/>
    <w:rsid w:val="008F5F35"/>
    <w:rsid w:val="009034D9"/>
    <w:rsid w:val="009059AE"/>
    <w:rsid w:val="009113EE"/>
    <w:rsid w:val="00912EFD"/>
    <w:rsid w:val="00914CFB"/>
    <w:rsid w:val="00916B35"/>
    <w:rsid w:val="00921F48"/>
    <w:rsid w:val="00922C17"/>
    <w:rsid w:val="0092472E"/>
    <w:rsid w:val="00932C57"/>
    <w:rsid w:val="00935CF5"/>
    <w:rsid w:val="00941954"/>
    <w:rsid w:val="00946E46"/>
    <w:rsid w:val="00955775"/>
    <w:rsid w:val="00971479"/>
    <w:rsid w:val="00981864"/>
    <w:rsid w:val="009A1995"/>
    <w:rsid w:val="009A2FD4"/>
    <w:rsid w:val="009A425E"/>
    <w:rsid w:val="009A54FC"/>
    <w:rsid w:val="009A7EFA"/>
    <w:rsid w:val="009B08D2"/>
    <w:rsid w:val="009B39A1"/>
    <w:rsid w:val="009B3AF8"/>
    <w:rsid w:val="009B5E54"/>
    <w:rsid w:val="009C10FB"/>
    <w:rsid w:val="009C1278"/>
    <w:rsid w:val="009C4732"/>
    <w:rsid w:val="009C5BBA"/>
    <w:rsid w:val="009D3B01"/>
    <w:rsid w:val="009D652C"/>
    <w:rsid w:val="009D65A3"/>
    <w:rsid w:val="009E1B22"/>
    <w:rsid w:val="009F36C7"/>
    <w:rsid w:val="009F5DC1"/>
    <w:rsid w:val="009F7646"/>
    <w:rsid w:val="009F7DD0"/>
    <w:rsid w:val="00A01920"/>
    <w:rsid w:val="00A04AAE"/>
    <w:rsid w:val="00A14E46"/>
    <w:rsid w:val="00A23643"/>
    <w:rsid w:val="00A23A07"/>
    <w:rsid w:val="00A24EEF"/>
    <w:rsid w:val="00A26611"/>
    <w:rsid w:val="00A328E1"/>
    <w:rsid w:val="00A35482"/>
    <w:rsid w:val="00A453D6"/>
    <w:rsid w:val="00A528A1"/>
    <w:rsid w:val="00A53630"/>
    <w:rsid w:val="00A5397C"/>
    <w:rsid w:val="00A557FF"/>
    <w:rsid w:val="00A56B2D"/>
    <w:rsid w:val="00A6260B"/>
    <w:rsid w:val="00A67875"/>
    <w:rsid w:val="00A74A7F"/>
    <w:rsid w:val="00A755C3"/>
    <w:rsid w:val="00A774C6"/>
    <w:rsid w:val="00A812C9"/>
    <w:rsid w:val="00A831A1"/>
    <w:rsid w:val="00A92437"/>
    <w:rsid w:val="00A93C34"/>
    <w:rsid w:val="00A95B9F"/>
    <w:rsid w:val="00AA41FE"/>
    <w:rsid w:val="00AB0F9A"/>
    <w:rsid w:val="00AB1B46"/>
    <w:rsid w:val="00AB4C1A"/>
    <w:rsid w:val="00AC1264"/>
    <w:rsid w:val="00AD0C9A"/>
    <w:rsid w:val="00AD25F3"/>
    <w:rsid w:val="00AD34A9"/>
    <w:rsid w:val="00AD5BA4"/>
    <w:rsid w:val="00AE27F1"/>
    <w:rsid w:val="00AE47F6"/>
    <w:rsid w:val="00AE5830"/>
    <w:rsid w:val="00AE7243"/>
    <w:rsid w:val="00AF0A49"/>
    <w:rsid w:val="00AF50E9"/>
    <w:rsid w:val="00AF7306"/>
    <w:rsid w:val="00AF7DF8"/>
    <w:rsid w:val="00B0074E"/>
    <w:rsid w:val="00B05676"/>
    <w:rsid w:val="00B05860"/>
    <w:rsid w:val="00B06118"/>
    <w:rsid w:val="00B06CE8"/>
    <w:rsid w:val="00B10647"/>
    <w:rsid w:val="00B12D7A"/>
    <w:rsid w:val="00B17509"/>
    <w:rsid w:val="00B21410"/>
    <w:rsid w:val="00B259C0"/>
    <w:rsid w:val="00B30847"/>
    <w:rsid w:val="00B33201"/>
    <w:rsid w:val="00B411C2"/>
    <w:rsid w:val="00B531A8"/>
    <w:rsid w:val="00B5571D"/>
    <w:rsid w:val="00B561B1"/>
    <w:rsid w:val="00B57998"/>
    <w:rsid w:val="00B57B3C"/>
    <w:rsid w:val="00B62DCD"/>
    <w:rsid w:val="00B637CE"/>
    <w:rsid w:val="00B6655E"/>
    <w:rsid w:val="00B667B3"/>
    <w:rsid w:val="00B671D1"/>
    <w:rsid w:val="00B77405"/>
    <w:rsid w:val="00BA4C94"/>
    <w:rsid w:val="00BA6F20"/>
    <w:rsid w:val="00BB0937"/>
    <w:rsid w:val="00BB1446"/>
    <w:rsid w:val="00BB16C2"/>
    <w:rsid w:val="00BB3AB1"/>
    <w:rsid w:val="00BB486A"/>
    <w:rsid w:val="00BB6E11"/>
    <w:rsid w:val="00BB7C89"/>
    <w:rsid w:val="00BC38FB"/>
    <w:rsid w:val="00BC486B"/>
    <w:rsid w:val="00BD0FDA"/>
    <w:rsid w:val="00BD5FEE"/>
    <w:rsid w:val="00BE4FD7"/>
    <w:rsid w:val="00BE58F9"/>
    <w:rsid w:val="00BE5FE5"/>
    <w:rsid w:val="00BE6AA9"/>
    <w:rsid w:val="00BE718A"/>
    <w:rsid w:val="00BE7A71"/>
    <w:rsid w:val="00BF08FD"/>
    <w:rsid w:val="00BF2C5C"/>
    <w:rsid w:val="00BF45F5"/>
    <w:rsid w:val="00BF4B35"/>
    <w:rsid w:val="00C066EE"/>
    <w:rsid w:val="00C0796D"/>
    <w:rsid w:val="00C122FA"/>
    <w:rsid w:val="00C137C8"/>
    <w:rsid w:val="00C15524"/>
    <w:rsid w:val="00C223E3"/>
    <w:rsid w:val="00C30767"/>
    <w:rsid w:val="00C30F3E"/>
    <w:rsid w:val="00C36E8E"/>
    <w:rsid w:val="00C40D92"/>
    <w:rsid w:val="00C41442"/>
    <w:rsid w:val="00C443C4"/>
    <w:rsid w:val="00C50A04"/>
    <w:rsid w:val="00C569BA"/>
    <w:rsid w:val="00C57381"/>
    <w:rsid w:val="00C72490"/>
    <w:rsid w:val="00C80184"/>
    <w:rsid w:val="00C8165D"/>
    <w:rsid w:val="00C84E9C"/>
    <w:rsid w:val="00C93D05"/>
    <w:rsid w:val="00C971F2"/>
    <w:rsid w:val="00CA2026"/>
    <w:rsid w:val="00CA6454"/>
    <w:rsid w:val="00CB174F"/>
    <w:rsid w:val="00CB56C1"/>
    <w:rsid w:val="00CB62CC"/>
    <w:rsid w:val="00CC01D7"/>
    <w:rsid w:val="00CC06AE"/>
    <w:rsid w:val="00CC2814"/>
    <w:rsid w:val="00CC2D6D"/>
    <w:rsid w:val="00CC7F6B"/>
    <w:rsid w:val="00CD51DD"/>
    <w:rsid w:val="00CE3DE9"/>
    <w:rsid w:val="00CE7AB3"/>
    <w:rsid w:val="00CF07BB"/>
    <w:rsid w:val="00CF325F"/>
    <w:rsid w:val="00D023BF"/>
    <w:rsid w:val="00D03F0B"/>
    <w:rsid w:val="00D10744"/>
    <w:rsid w:val="00D12780"/>
    <w:rsid w:val="00D20471"/>
    <w:rsid w:val="00D23AE2"/>
    <w:rsid w:val="00D36F52"/>
    <w:rsid w:val="00D42289"/>
    <w:rsid w:val="00D46FD2"/>
    <w:rsid w:val="00D47D6C"/>
    <w:rsid w:val="00D523C3"/>
    <w:rsid w:val="00D537B1"/>
    <w:rsid w:val="00D558F5"/>
    <w:rsid w:val="00D5675B"/>
    <w:rsid w:val="00D62DF5"/>
    <w:rsid w:val="00D64F3E"/>
    <w:rsid w:val="00D65596"/>
    <w:rsid w:val="00D7110A"/>
    <w:rsid w:val="00D7282E"/>
    <w:rsid w:val="00D85B20"/>
    <w:rsid w:val="00D86084"/>
    <w:rsid w:val="00D86762"/>
    <w:rsid w:val="00D9352E"/>
    <w:rsid w:val="00DA384F"/>
    <w:rsid w:val="00DA4C90"/>
    <w:rsid w:val="00DA6EA8"/>
    <w:rsid w:val="00DB2D71"/>
    <w:rsid w:val="00DD5600"/>
    <w:rsid w:val="00DD75C0"/>
    <w:rsid w:val="00DE252A"/>
    <w:rsid w:val="00DE39D7"/>
    <w:rsid w:val="00DF216A"/>
    <w:rsid w:val="00E00EFE"/>
    <w:rsid w:val="00E04639"/>
    <w:rsid w:val="00E16251"/>
    <w:rsid w:val="00E33D1A"/>
    <w:rsid w:val="00E34F5C"/>
    <w:rsid w:val="00E41F02"/>
    <w:rsid w:val="00E4652E"/>
    <w:rsid w:val="00E470EE"/>
    <w:rsid w:val="00E47116"/>
    <w:rsid w:val="00E600AF"/>
    <w:rsid w:val="00E64145"/>
    <w:rsid w:val="00E66B2B"/>
    <w:rsid w:val="00E7285D"/>
    <w:rsid w:val="00E778ED"/>
    <w:rsid w:val="00E82076"/>
    <w:rsid w:val="00E93A74"/>
    <w:rsid w:val="00EA09E9"/>
    <w:rsid w:val="00EA0E6D"/>
    <w:rsid w:val="00EA1C21"/>
    <w:rsid w:val="00EC10F0"/>
    <w:rsid w:val="00EC5907"/>
    <w:rsid w:val="00EC70AA"/>
    <w:rsid w:val="00EC786A"/>
    <w:rsid w:val="00ED2182"/>
    <w:rsid w:val="00ED47B4"/>
    <w:rsid w:val="00EE4FFC"/>
    <w:rsid w:val="00EE63C3"/>
    <w:rsid w:val="00EF2561"/>
    <w:rsid w:val="00EF4BCB"/>
    <w:rsid w:val="00EF4CD1"/>
    <w:rsid w:val="00EF74C0"/>
    <w:rsid w:val="00F03A9A"/>
    <w:rsid w:val="00F03B98"/>
    <w:rsid w:val="00F03DC9"/>
    <w:rsid w:val="00F10377"/>
    <w:rsid w:val="00F13A41"/>
    <w:rsid w:val="00F1627F"/>
    <w:rsid w:val="00F167B7"/>
    <w:rsid w:val="00F16835"/>
    <w:rsid w:val="00F1758E"/>
    <w:rsid w:val="00F17BB2"/>
    <w:rsid w:val="00F2039D"/>
    <w:rsid w:val="00F24FC1"/>
    <w:rsid w:val="00F27F60"/>
    <w:rsid w:val="00F31C5A"/>
    <w:rsid w:val="00F353C9"/>
    <w:rsid w:val="00F40508"/>
    <w:rsid w:val="00F4234C"/>
    <w:rsid w:val="00F43CF5"/>
    <w:rsid w:val="00F45F77"/>
    <w:rsid w:val="00F57389"/>
    <w:rsid w:val="00F64B4D"/>
    <w:rsid w:val="00F75B62"/>
    <w:rsid w:val="00F807A0"/>
    <w:rsid w:val="00F808E0"/>
    <w:rsid w:val="00F84689"/>
    <w:rsid w:val="00F960E7"/>
    <w:rsid w:val="00FA3107"/>
    <w:rsid w:val="00FA6771"/>
    <w:rsid w:val="00FB38E0"/>
    <w:rsid w:val="00FC03A3"/>
    <w:rsid w:val="00FC0E57"/>
    <w:rsid w:val="00FC3DFB"/>
    <w:rsid w:val="00FC6E50"/>
    <w:rsid w:val="00FE433A"/>
    <w:rsid w:val="00FE5DDB"/>
    <w:rsid w:val="00FF3D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B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8D2"/>
    <w:pPr>
      <w:tabs>
        <w:tab w:val="center" w:pos="4513"/>
        <w:tab w:val="right" w:pos="9026"/>
      </w:tabs>
    </w:pPr>
  </w:style>
  <w:style w:type="character" w:customStyle="1" w:styleId="HeaderChar">
    <w:name w:val="Header Char"/>
    <w:basedOn w:val="DefaultParagraphFont"/>
    <w:link w:val="Header"/>
    <w:uiPriority w:val="99"/>
    <w:locked/>
    <w:rsid w:val="009B08D2"/>
    <w:rPr>
      <w:rFonts w:cs="Times New Roman"/>
    </w:rPr>
  </w:style>
  <w:style w:type="paragraph" w:styleId="Footer">
    <w:name w:val="footer"/>
    <w:basedOn w:val="Normal"/>
    <w:link w:val="FooterChar"/>
    <w:uiPriority w:val="99"/>
    <w:rsid w:val="009B08D2"/>
    <w:pPr>
      <w:tabs>
        <w:tab w:val="center" w:pos="4513"/>
        <w:tab w:val="right" w:pos="9026"/>
      </w:tabs>
    </w:pPr>
  </w:style>
  <w:style w:type="character" w:customStyle="1" w:styleId="FooterChar">
    <w:name w:val="Footer Char"/>
    <w:basedOn w:val="DefaultParagraphFont"/>
    <w:link w:val="Footer"/>
    <w:uiPriority w:val="99"/>
    <w:locked/>
    <w:rsid w:val="009B08D2"/>
    <w:rPr>
      <w:rFonts w:cs="Times New Roman"/>
    </w:rPr>
  </w:style>
  <w:style w:type="paragraph" w:styleId="FootnoteText">
    <w:name w:val="footnote text"/>
    <w:basedOn w:val="Normal"/>
    <w:link w:val="FootnoteTextChar"/>
    <w:uiPriority w:val="99"/>
    <w:semiHidden/>
    <w:rsid w:val="00BD0FDA"/>
    <w:rPr>
      <w:sz w:val="20"/>
      <w:szCs w:val="20"/>
    </w:rPr>
  </w:style>
  <w:style w:type="character" w:customStyle="1" w:styleId="FootnoteTextChar">
    <w:name w:val="Footnote Text Char"/>
    <w:basedOn w:val="DefaultParagraphFont"/>
    <w:link w:val="FootnoteText"/>
    <w:uiPriority w:val="99"/>
    <w:semiHidden/>
    <w:locked/>
    <w:rsid w:val="00BD0FDA"/>
    <w:rPr>
      <w:rFonts w:cs="Times New Roman"/>
      <w:sz w:val="20"/>
      <w:szCs w:val="20"/>
    </w:rPr>
  </w:style>
  <w:style w:type="character" w:styleId="FootnoteReference">
    <w:name w:val="footnote reference"/>
    <w:basedOn w:val="DefaultParagraphFont"/>
    <w:uiPriority w:val="99"/>
    <w:semiHidden/>
    <w:rsid w:val="00BD0F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3444</Words>
  <Characters>19634</Characters>
  <Application>Microsoft Office Word</Application>
  <DocSecurity>0</DocSecurity>
  <Lines>163</Lines>
  <Paragraphs>46</Paragraphs>
  <ScaleCrop>false</ScaleCrop>
  <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Clive</dc:creator>
  <cp:lastModifiedBy>SMpako</cp:lastModifiedBy>
  <cp:revision>2</cp:revision>
  <cp:lastPrinted>2013-08-19T10:11:00Z</cp:lastPrinted>
  <dcterms:created xsi:type="dcterms:W3CDTF">2013-08-27T08:18:00Z</dcterms:created>
  <dcterms:modified xsi:type="dcterms:W3CDTF">2013-08-27T08:18:00Z</dcterms:modified>
</cp:coreProperties>
</file>