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61" w:rsidRPr="00C44116" w:rsidRDefault="00492361" w:rsidP="00492361">
      <w:pPr>
        <w:rPr>
          <w:rFonts w:ascii="Times New Roman" w:hAnsi="Times New Roman"/>
          <w:b/>
          <w:sz w:val="24"/>
          <w:szCs w:val="24"/>
          <w:lang w:val="en-US"/>
        </w:rPr>
      </w:pPr>
      <w:bookmarkStart w:id="0" w:name="_GoBack"/>
      <w:bookmarkEnd w:id="0"/>
      <w:r w:rsidRPr="00C44116">
        <w:rPr>
          <w:rFonts w:ascii="Times New Roman" w:hAnsi="Times New Roman"/>
          <w:b/>
          <w:sz w:val="24"/>
          <w:szCs w:val="24"/>
          <w:lang w:val="en-US"/>
        </w:rPr>
        <w:t xml:space="preserve">IN THE HIGH COURT OF SOUTH AFRICA                             </w:t>
      </w:r>
    </w:p>
    <w:p w:rsidR="00492361" w:rsidRPr="00C44116" w:rsidRDefault="00492361" w:rsidP="00492361">
      <w:pPr>
        <w:rPr>
          <w:rFonts w:ascii="Times New Roman" w:hAnsi="Times New Roman"/>
          <w:b/>
          <w:sz w:val="24"/>
          <w:szCs w:val="24"/>
          <w:lang w:val="en-US"/>
        </w:rPr>
      </w:pPr>
      <w:r w:rsidRPr="00C44116">
        <w:rPr>
          <w:rFonts w:ascii="Times New Roman" w:hAnsi="Times New Roman"/>
          <w:b/>
          <w:sz w:val="24"/>
          <w:szCs w:val="24"/>
          <w:lang w:val="en-US"/>
        </w:rPr>
        <w:t>(E</w:t>
      </w:r>
      <w:r w:rsidR="00D764DC" w:rsidRPr="00C44116">
        <w:rPr>
          <w:rFonts w:ascii="Times New Roman" w:hAnsi="Times New Roman"/>
          <w:b/>
          <w:sz w:val="24"/>
          <w:szCs w:val="24"/>
          <w:lang w:val="en-US"/>
        </w:rPr>
        <w:t>A</w:t>
      </w:r>
      <w:r w:rsidRPr="00C44116">
        <w:rPr>
          <w:rFonts w:ascii="Times New Roman" w:hAnsi="Times New Roman"/>
          <w:b/>
          <w:sz w:val="24"/>
          <w:szCs w:val="24"/>
          <w:lang w:val="en-US"/>
        </w:rPr>
        <w:t>STERN CAPE</w:t>
      </w:r>
      <w:r w:rsidR="00641FBB" w:rsidRPr="00C44116">
        <w:rPr>
          <w:rFonts w:ascii="Times New Roman" w:hAnsi="Times New Roman"/>
          <w:b/>
          <w:sz w:val="24"/>
          <w:szCs w:val="24"/>
          <w:lang w:val="en-US"/>
        </w:rPr>
        <w:t xml:space="preserve"> </w:t>
      </w:r>
      <w:r w:rsidR="00D764DC" w:rsidRPr="00C44116">
        <w:rPr>
          <w:rFonts w:ascii="Times New Roman" w:hAnsi="Times New Roman"/>
          <w:b/>
          <w:sz w:val="24"/>
          <w:szCs w:val="24"/>
          <w:lang w:val="en-US"/>
        </w:rPr>
        <w:t xml:space="preserve">LOCAL </w:t>
      </w:r>
      <w:r w:rsidR="00641FBB" w:rsidRPr="00C44116">
        <w:rPr>
          <w:rFonts w:ascii="Times New Roman" w:hAnsi="Times New Roman"/>
          <w:b/>
          <w:sz w:val="24"/>
          <w:szCs w:val="24"/>
          <w:lang w:val="en-US"/>
        </w:rPr>
        <w:t>DIVISION</w:t>
      </w:r>
      <w:r w:rsidRPr="00C44116">
        <w:rPr>
          <w:rFonts w:ascii="Times New Roman" w:hAnsi="Times New Roman"/>
          <w:b/>
          <w:sz w:val="24"/>
          <w:szCs w:val="24"/>
          <w:lang w:val="en-US"/>
        </w:rPr>
        <w:t>,</w:t>
      </w:r>
      <w:r w:rsidR="00D764DC" w:rsidRPr="00C44116">
        <w:rPr>
          <w:rFonts w:ascii="Times New Roman" w:hAnsi="Times New Roman"/>
          <w:b/>
          <w:sz w:val="24"/>
          <w:szCs w:val="24"/>
          <w:lang w:val="en-US"/>
        </w:rPr>
        <w:t xml:space="preserve"> PORT ELIZABETH</w:t>
      </w:r>
      <w:r w:rsidRPr="00C44116">
        <w:rPr>
          <w:rFonts w:ascii="Times New Roman" w:hAnsi="Times New Roman"/>
          <w:b/>
          <w:sz w:val="24"/>
          <w:szCs w:val="24"/>
          <w:lang w:val="en-US"/>
        </w:rPr>
        <w:t>)</w:t>
      </w:r>
    </w:p>
    <w:p w:rsidR="00492361" w:rsidRPr="00C44116" w:rsidRDefault="00492361" w:rsidP="00492361">
      <w:pPr>
        <w:rPr>
          <w:rFonts w:ascii="Times New Roman" w:hAnsi="Times New Roman"/>
          <w:b/>
          <w:sz w:val="24"/>
          <w:szCs w:val="24"/>
          <w:lang w:val="en-US"/>
        </w:rPr>
      </w:pPr>
    </w:p>
    <w:p w:rsidR="00492361" w:rsidRPr="00C44116" w:rsidRDefault="00492361" w:rsidP="00492361">
      <w:pPr>
        <w:rPr>
          <w:rFonts w:ascii="Times New Roman" w:hAnsi="Times New Roman"/>
          <w:sz w:val="24"/>
          <w:szCs w:val="24"/>
          <w:lang w:val="en-US"/>
        </w:rPr>
      </w:pP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t xml:space="preserve">    </w:t>
      </w:r>
      <w:r w:rsidR="005F655A" w:rsidRPr="00C44116">
        <w:rPr>
          <w:rFonts w:ascii="Times New Roman" w:hAnsi="Times New Roman"/>
          <w:sz w:val="24"/>
          <w:szCs w:val="24"/>
          <w:lang w:val="en-US"/>
        </w:rPr>
        <w:t xml:space="preserve">    </w:t>
      </w:r>
      <w:r w:rsidRPr="00C44116">
        <w:rPr>
          <w:rFonts w:ascii="Times New Roman" w:hAnsi="Times New Roman"/>
          <w:sz w:val="24"/>
          <w:szCs w:val="24"/>
          <w:lang w:val="en-US"/>
        </w:rPr>
        <w:t xml:space="preserve">CASE NO: </w:t>
      </w:r>
      <w:r w:rsidR="00161C2C" w:rsidRPr="00C44116">
        <w:rPr>
          <w:rFonts w:ascii="Times New Roman" w:hAnsi="Times New Roman"/>
          <w:sz w:val="24"/>
          <w:szCs w:val="24"/>
          <w:lang w:val="en-US"/>
        </w:rPr>
        <w:t>1487</w:t>
      </w:r>
      <w:r w:rsidR="000A2175" w:rsidRPr="00C44116">
        <w:rPr>
          <w:rFonts w:ascii="Times New Roman" w:hAnsi="Times New Roman"/>
          <w:sz w:val="24"/>
          <w:szCs w:val="24"/>
          <w:lang w:val="en-US"/>
        </w:rPr>
        <w:t xml:space="preserve"> </w:t>
      </w:r>
      <w:r w:rsidRPr="00C44116">
        <w:rPr>
          <w:rFonts w:ascii="Times New Roman" w:hAnsi="Times New Roman"/>
          <w:sz w:val="24"/>
          <w:szCs w:val="24"/>
          <w:lang w:val="en-US"/>
        </w:rPr>
        <w:t>/</w:t>
      </w:r>
      <w:r w:rsidR="000A6157" w:rsidRPr="00C44116">
        <w:rPr>
          <w:rFonts w:ascii="Times New Roman" w:hAnsi="Times New Roman"/>
          <w:sz w:val="24"/>
          <w:szCs w:val="24"/>
          <w:lang w:val="en-US"/>
        </w:rPr>
        <w:t xml:space="preserve"> </w:t>
      </w:r>
      <w:r w:rsidRPr="00C44116">
        <w:rPr>
          <w:rFonts w:ascii="Times New Roman" w:hAnsi="Times New Roman"/>
          <w:sz w:val="24"/>
          <w:szCs w:val="24"/>
          <w:lang w:val="en-US"/>
        </w:rPr>
        <w:t>1</w:t>
      </w:r>
      <w:r w:rsidR="000A2175" w:rsidRPr="00C44116">
        <w:rPr>
          <w:rFonts w:ascii="Times New Roman" w:hAnsi="Times New Roman"/>
          <w:sz w:val="24"/>
          <w:szCs w:val="24"/>
          <w:lang w:val="en-US"/>
        </w:rPr>
        <w:t>7</w:t>
      </w:r>
    </w:p>
    <w:p w:rsidR="00492361" w:rsidRPr="00C44116" w:rsidRDefault="00492361" w:rsidP="00492361">
      <w:pPr>
        <w:rPr>
          <w:rFonts w:ascii="Times New Roman" w:hAnsi="Times New Roman"/>
          <w:sz w:val="24"/>
          <w:szCs w:val="24"/>
          <w:lang w:val="en-US"/>
        </w:rPr>
      </w:pPr>
      <w:r w:rsidRPr="00C44116">
        <w:rPr>
          <w:rFonts w:ascii="Times New Roman" w:hAnsi="Times New Roman"/>
          <w:sz w:val="24"/>
          <w:szCs w:val="24"/>
          <w:lang w:val="en-US"/>
        </w:rPr>
        <w:t>In the matter between:</w:t>
      </w:r>
    </w:p>
    <w:p w:rsidR="00DC3FFD" w:rsidRPr="00C44116" w:rsidRDefault="00DC3FFD" w:rsidP="00492361">
      <w:pPr>
        <w:rPr>
          <w:rFonts w:ascii="Times New Roman" w:hAnsi="Times New Roman"/>
          <w:sz w:val="24"/>
          <w:szCs w:val="24"/>
          <w:lang w:val="en-US"/>
        </w:rPr>
      </w:pPr>
    </w:p>
    <w:p w:rsidR="00492361" w:rsidRPr="00C44116" w:rsidRDefault="000A2175" w:rsidP="00492361">
      <w:pPr>
        <w:rPr>
          <w:rFonts w:ascii="Times New Roman" w:hAnsi="Times New Roman"/>
          <w:sz w:val="24"/>
          <w:szCs w:val="24"/>
          <w:lang w:val="en-US"/>
        </w:rPr>
      </w:pPr>
      <w:r w:rsidRPr="00C44116">
        <w:rPr>
          <w:rFonts w:ascii="Times New Roman" w:hAnsi="Times New Roman"/>
          <w:b/>
          <w:sz w:val="24"/>
          <w:szCs w:val="24"/>
          <w:lang w:val="en-US"/>
        </w:rPr>
        <w:t>THE S</w:t>
      </w:r>
      <w:r w:rsidR="00951E2C" w:rsidRPr="00C44116">
        <w:rPr>
          <w:rFonts w:ascii="Times New Roman" w:hAnsi="Times New Roman"/>
          <w:b/>
          <w:sz w:val="24"/>
          <w:szCs w:val="24"/>
          <w:lang w:val="en-US"/>
        </w:rPr>
        <w:t>A</w:t>
      </w:r>
      <w:r w:rsidRPr="00C44116">
        <w:rPr>
          <w:rFonts w:ascii="Times New Roman" w:hAnsi="Times New Roman"/>
          <w:b/>
          <w:sz w:val="24"/>
          <w:szCs w:val="24"/>
          <w:lang w:val="en-US"/>
        </w:rPr>
        <w:t>HARAWI ARAB DEMOCRATIC REPUBLIC</w:t>
      </w:r>
      <w:r w:rsidR="000A6157" w:rsidRPr="00C44116">
        <w:rPr>
          <w:rFonts w:ascii="Times New Roman" w:hAnsi="Times New Roman"/>
          <w:b/>
          <w:sz w:val="24"/>
          <w:szCs w:val="24"/>
          <w:lang w:val="en-US"/>
        </w:rPr>
        <w:tab/>
      </w:r>
      <w:r w:rsidR="00492361" w:rsidRPr="00C44116">
        <w:rPr>
          <w:rFonts w:ascii="Times New Roman" w:hAnsi="Times New Roman"/>
          <w:b/>
          <w:sz w:val="24"/>
          <w:szCs w:val="24"/>
          <w:lang w:val="en-US"/>
        </w:rPr>
        <w:tab/>
      </w:r>
      <w:r w:rsidR="009D33AA" w:rsidRPr="00C44116">
        <w:rPr>
          <w:rFonts w:ascii="Times New Roman" w:hAnsi="Times New Roman"/>
          <w:b/>
          <w:sz w:val="24"/>
          <w:szCs w:val="24"/>
          <w:lang w:val="en-US"/>
        </w:rPr>
        <w:t xml:space="preserve">    </w:t>
      </w:r>
      <w:r w:rsidRPr="00C44116">
        <w:rPr>
          <w:rFonts w:ascii="Times New Roman" w:hAnsi="Times New Roman"/>
          <w:sz w:val="24"/>
          <w:szCs w:val="24"/>
          <w:lang w:val="en-US"/>
        </w:rPr>
        <w:t xml:space="preserve">  First </w:t>
      </w:r>
      <w:r w:rsidR="009D33AA" w:rsidRPr="00C44116">
        <w:rPr>
          <w:rFonts w:ascii="Times New Roman" w:hAnsi="Times New Roman"/>
          <w:sz w:val="24"/>
          <w:szCs w:val="24"/>
          <w:lang w:val="en-US"/>
        </w:rPr>
        <w:t>Applicant</w:t>
      </w:r>
    </w:p>
    <w:p w:rsidR="000A2175" w:rsidRPr="00C44116" w:rsidRDefault="000A2175" w:rsidP="00492361">
      <w:pPr>
        <w:rPr>
          <w:rFonts w:ascii="Times New Roman" w:hAnsi="Times New Roman"/>
          <w:sz w:val="24"/>
          <w:szCs w:val="24"/>
          <w:lang w:val="en-US"/>
        </w:rPr>
      </w:pPr>
    </w:p>
    <w:p w:rsidR="000A2175" w:rsidRPr="00C44116" w:rsidRDefault="000A2175" w:rsidP="00492361">
      <w:pPr>
        <w:rPr>
          <w:rFonts w:ascii="Times New Roman" w:hAnsi="Times New Roman"/>
          <w:sz w:val="24"/>
          <w:szCs w:val="24"/>
          <w:lang w:val="en-US"/>
        </w:rPr>
      </w:pPr>
      <w:r w:rsidRPr="00C44116">
        <w:rPr>
          <w:rFonts w:ascii="Times New Roman" w:hAnsi="Times New Roman"/>
          <w:b/>
          <w:sz w:val="24"/>
          <w:szCs w:val="24"/>
          <w:lang w:val="en-US"/>
        </w:rPr>
        <w:t>THE POLISARIO FRONT</w:t>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r>
      <w:r w:rsidRPr="00C44116">
        <w:rPr>
          <w:rFonts w:ascii="Times New Roman" w:hAnsi="Times New Roman"/>
          <w:sz w:val="24"/>
          <w:szCs w:val="24"/>
          <w:lang w:val="en-US"/>
        </w:rPr>
        <w:tab/>
        <w:t xml:space="preserve"> Second Applicant</w:t>
      </w:r>
    </w:p>
    <w:p w:rsidR="00DC3FFD" w:rsidRPr="00C44116" w:rsidRDefault="00DC3FFD" w:rsidP="00492361">
      <w:pPr>
        <w:rPr>
          <w:rFonts w:ascii="Times New Roman" w:hAnsi="Times New Roman"/>
          <w:sz w:val="24"/>
          <w:szCs w:val="24"/>
          <w:lang w:val="en-US"/>
        </w:rPr>
      </w:pPr>
    </w:p>
    <w:p w:rsidR="00492361" w:rsidRPr="00C44116" w:rsidRDefault="00492361" w:rsidP="00492361">
      <w:pPr>
        <w:rPr>
          <w:rFonts w:ascii="Times New Roman" w:hAnsi="Times New Roman"/>
          <w:sz w:val="24"/>
          <w:szCs w:val="24"/>
          <w:lang w:val="en-US"/>
        </w:rPr>
      </w:pPr>
      <w:r w:rsidRPr="00C44116">
        <w:rPr>
          <w:rFonts w:ascii="Times New Roman" w:hAnsi="Times New Roman"/>
          <w:sz w:val="24"/>
          <w:szCs w:val="24"/>
          <w:lang w:val="en-US"/>
        </w:rPr>
        <w:t>and</w:t>
      </w:r>
    </w:p>
    <w:p w:rsidR="00DC3FFD" w:rsidRPr="00C44116" w:rsidRDefault="00DC3FFD" w:rsidP="00492361">
      <w:pPr>
        <w:rPr>
          <w:rFonts w:ascii="Times New Roman" w:hAnsi="Times New Roman"/>
          <w:sz w:val="24"/>
          <w:szCs w:val="24"/>
          <w:lang w:val="en-US"/>
        </w:rPr>
      </w:pPr>
    </w:p>
    <w:p w:rsidR="00752221" w:rsidRPr="00C44116" w:rsidRDefault="00E12A2E" w:rsidP="00752221">
      <w:pPr>
        <w:rPr>
          <w:rFonts w:ascii="Times New Roman" w:hAnsi="Times New Roman"/>
          <w:b/>
          <w:sz w:val="24"/>
          <w:szCs w:val="24"/>
          <w:lang w:val="en-US"/>
        </w:rPr>
      </w:pPr>
      <w:r w:rsidRPr="00C44116">
        <w:rPr>
          <w:rFonts w:ascii="Times New Roman" w:hAnsi="Times New Roman"/>
          <w:b/>
          <w:sz w:val="24"/>
          <w:szCs w:val="24"/>
          <w:lang w:val="en-US"/>
        </w:rPr>
        <w:t>THE OWNER</w:t>
      </w:r>
      <w:r w:rsidR="00C63EF6" w:rsidRPr="00C44116">
        <w:rPr>
          <w:rFonts w:ascii="Times New Roman" w:hAnsi="Times New Roman"/>
          <w:b/>
          <w:sz w:val="24"/>
          <w:szCs w:val="24"/>
          <w:lang w:val="en-US"/>
        </w:rPr>
        <w:t xml:space="preserve"> </w:t>
      </w:r>
      <w:r w:rsidR="00752221" w:rsidRPr="00C44116">
        <w:rPr>
          <w:rFonts w:ascii="Times New Roman" w:hAnsi="Times New Roman"/>
          <w:b/>
          <w:sz w:val="24"/>
          <w:szCs w:val="24"/>
          <w:lang w:val="en-US"/>
        </w:rPr>
        <w:t xml:space="preserve">AND CHARTERERS </w:t>
      </w:r>
      <w:r w:rsidR="00C63EF6" w:rsidRPr="00C44116">
        <w:rPr>
          <w:rFonts w:ascii="Times New Roman" w:hAnsi="Times New Roman"/>
          <w:b/>
          <w:sz w:val="24"/>
          <w:szCs w:val="24"/>
          <w:lang w:val="en-US"/>
        </w:rPr>
        <w:t>OF THE</w:t>
      </w:r>
      <w:r w:rsidR="00492361" w:rsidRPr="00C44116">
        <w:rPr>
          <w:rFonts w:ascii="Times New Roman" w:hAnsi="Times New Roman"/>
          <w:b/>
          <w:sz w:val="24"/>
          <w:szCs w:val="24"/>
          <w:lang w:val="en-US"/>
        </w:rPr>
        <w:t xml:space="preserve"> </w:t>
      </w:r>
    </w:p>
    <w:p w:rsidR="00492361" w:rsidRPr="00C44116" w:rsidRDefault="00E12A2E" w:rsidP="00752221">
      <w:pPr>
        <w:rPr>
          <w:rFonts w:ascii="Times New Roman" w:hAnsi="Times New Roman"/>
          <w:sz w:val="24"/>
          <w:szCs w:val="24"/>
          <w:lang w:val="en-US"/>
        </w:rPr>
      </w:pPr>
      <w:r w:rsidRPr="00C44116">
        <w:rPr>
          <w:rFonts w:ascii="Times New Roman" w:hAnsi="Times New Roman"/>
          <w:b/>
          <w:sz w:val="24"/>
          <w:szCs w:val="24"/>
          <w:lang w:val="en-US"/>
        </w:rPr>
        <w:t xml:space="preserve">MV </w:t>
      </w:r>
      <w:r w:rsidR="00492361" w:rsidRPr="00C44116">
        <w:rPr>
          <w:rFonts w:ascii="Times New Roman" w:hAnsi="Times New Roman"/>
          <w:b/>
          <w:sz w:val="24"/>
          <w:szCs w:val="24"/>
          <w:lang w:val="en-US"/>
        </w:rPr>
        <w:t>“</w:t>
      </w:r>
      <w:r w:rsidRPr="00C44116">
        <w:rPr>
          <w:rFonts w:ascii="Times New Roman" w:hAnsi="Times New Roman"/>
          <w:b/>
          <w:sz w:val="24"/>
          <w:szCs w:val="24"/>
          <w:lang w:val="en-US"/>
        </w:rPr>
        <w:t>NM CHERRY BLOSSOM</w:t>
      </w:r>
      <w:r w:rsidR="00492361" w:rsidRPr="00C44116">
        <w:rPr>
          <w:rFonts w:ascii="Times New Roman" w:hAnsi="Times New Roman"/>
          <w:b/>
          <w:sz w:val="24"/>
          <w:szCs w:val="24"/>
          <w:lang w:val="en-US"/>
        </w:rPr>
        <w:t>”</w:t>
      </w:r>
      <w:r w:rsidR="000A6157" w:rsidRPr="00C44116">
        <w:rPr>
          <w:rFonts w:ascii="Times New Roman" w:hAnsi="Times New Roman"/>
          <w:b/>
          <w:sz w:val="24"/>
          <w:szCs w:val="24"/>
          <w:lang w:val="en-US"/>
        </w:rPr>
        <w:tab/>
      </w:r>
      <w:r w:rsidR="003578A6" w:rsidRPr="00C44116">
        <w:rPr>
          <w:rFonts w:ascii="Times New Roman" w:hAnsi="Times New Roman"/>
          <w:sz w:val="24"/>
          <w:szCs w:val="24"/>
          <w:lang w:val="en-US"/>
        </w:rPr>
        <w:t xml:space="preserve"> </w:t>
      </w:r>
      <w:r w:rsidR="00C63EF6" w:rsidRPr="00C44116">
        <w:rPr>
          <w:rFonts w:ascii="Times New Roman" w:hAnsi="Times New Roman"/>
          <w:sz w:val="24"/>
          <w:szCs w:val="24"/>
          <w:lang w:val="en-US"/>
        </w:rPr>
        <w:t xml:space="preserve"> </w:t>
      </w:r>
      <w:r w:rsidR="00752221" w:rsidRPr="00C44116">
        <w:rPr>
          <w:rFonts w:ascii="Times New Roman" w:hAnsi="Times New Roman"/>
          <w:sz w:val="24"/>
          <w:szCs w:val="24"/>
          <w:lang w:val="en-US"/>
        </w:rPr>
        <w:tab/>
      </w:r>
      <w:r w:rsidR="00752221" w:rsidRPr="00C44116">
        <w:rPr>
          <w:rFonts w:ascii="Times New Roman" w:hAnsi="Times New Roman"/>
          <w:sz w:val="24"/>
          <w:szCs w:val="24"/>
          <w:lang w:val="en-US"/>
        </w:rPr>
        <w:tab/>
      </w:r>
      <w:r w:rsidR="00752221" w:rsidRPr="00C44116">
        <w:rPr>
          <w:rFonts w:ascii="Times New Roman" w:hAnsi="Times New Roman"/>
          <w:sz w:val="24"/>
          <w:szCs w:val="24"/>
          <w:lang w:val="en-US"/>
        </w:rPr>
        <w:tab/>
      </w:r>
      <w:r w:rsidR="00752221" w:rsidRPr="00C44116">
        <w:rPr>
          <w:rFonts w:ascii="Times New Roman" w:hAnsi="Times New Roman"/>
          <w:sz w:val="24"/>
          <w:szCs w:val="24"/>
          <w:lang w:val="en-US"/>
        </w:rPr>
        <w:tab/>
        <w:t xml:space="preserve">  </w:t>
      </w:r>
      <w:r w:rsidR="00C63EF6" w:rsidRPr="00C44116">
        <w:rPr>
          <w:rFonts w:ascii="Times New Roman" w:hAnsi="Times New Roman"/>
          <w:sz w:val="24"/>
          <w:szCs w:val="24"/>
          <w:lang w:val="en-US"/>
        </w:rPr>
        <w:t xml:space="preserve">First </w:t>
      </w:r>
      <w:r w:rsidR="009D33AA" w:rsidRPr="00C44116">
        <w:rPr>
          <w:rFonts w:ascii="Times New Roman" w:hAnsi="Times New Roman"/>
          <w:sz w:val="24"/>
          <w:szCs w:val="24"/>
          <w:lang w:val="en-US"/>
        </w:rPr>
        <w:t>Respondent</w:t>
      </w:r>
    </w:p>
    <w:p w:rsidR="00C63EF6" w:rsidRPr="00C44116" w:rsidRDefault="00C63EF6" w:rsidP="00752221">
      <w:pPr>
        <w:rPr>
          <w:rFonts w:ascii="Times New Roman" w:hAnsi="Times New Roman"/>
          <w:sz w:val="24"/>
          <w:szCs w:val="24"/>
          <w:lang w:val="en-US"/>
        </w:rPr>
      </w:pPr>
    </w:p>
    <w:p w:rsidR="00C63EF6" w:rsidRPr="00C44116" w:rsidRDefault="00E12A2E" w:rsidP="00752221">
      <w:pPr>
        <w:rPr>
          <w:rFonts w:ascii="Times New Roman" w:hAnsi="Times New Roman"/>
          <w:sz w:val="24"/>
          <w:szCs w:val="24"/>
          <w:lang w:val="en-US"/>
        </w:rPr>
      </w:pPr>
      <w:r w:rsidRPr="00C44116">
        <w:rPr>
          <w:rFonts w:ascii="Times New Roman" w:hAnsi="Times New Roman"/>
          <w:b/>
          <w:sz w:val="24"/>
          <w:szCs w:val="24"/>
          <w:lang w:val="en-US"/>
        </w:rPr>
        <w:t>THE MASTER OF THE MV “NM CHERRY BLOSSOM”</w:t>
      </w:r>
      <w:r w:rsidR="00C63EF6" w:rsidRPr="00C44116">
        <w:rPr>
          <w:rFonts w:ascii="Times New Roman" w:hAnsi="Times New Roman"/>
          <w:sz w:val="24"/>
          <w:szCs w:val="24"/>
          <w:lang w:val="en-US"/>
        </w:rPr>
        <w:t xml:space="preserve">     Second Respondent</w:t>
      </w:r>
    </w:p>
    <w:p w:rsidR="00C63EF6" w:rsidRPr="00C44116" w:rsidRDefault="00C63EF6" w:rsidP="00752221">
      <w:pPr>
        <w:rPr>
          <w:rFonts w:ascii="Times New Roman" w:hAnsi="Times New Roman"/>
          <w:sz w:val="24"/>
          <w:szCs w:val="24"/>
          <w:lang w:val="en-US"/>
        </w:rPr>
      </w:pPr>
    </w:p>
    <w:p w:rsidR="00E12A2E" w:rsidRPr="00C44116" w:rsidRDefault="00E12A2E" w:rsidP="00752221">
      <w:pPr>
        <w:pStyle w:val="Style17"/>
        <w:tabs>
          <w:tab w:val="right" w:pos="9000"/>
          <w:tab w:val="right" w:pos="9072"/>
        </w:tabs>
        <w:spacing w:before="0" w:line="240" w:lineRule="auto"/>
        <w:rPr>
          <w:rFonts w:ascii="Times New Roman" w:hAnsi="Times New Roman" w:cs="Times New Roman"/>
          <w:b/>
          <w:sz w:val="24"/>
          <w:szCs w:val="24"/>
          <w:lang w:val="en-ZA"/>
        </w:rPr>
      </w:pPr>
      <w:r w:rsidRPr="00C44116">
        <w:rPr>
          <w:rFonts w:ascii="Times New Roman" w:hAnsi="Times New Roman" w:cs="Times New Roman"/>
          <w:b/>
          <w:sz w:val="24"/>
          <w:szCs w:val="24"/>
          <w:lang w:val="en-ZA"/>
        </w:rPr>
        <w:t>THE PURCHASER OF THE CARGO LADEN ON BOARD</w:t>
      </w:r>
    </w:p>
    <w:p w:rsidR="00C63EF6" w:rsidRPr="00C44116" w:rsidRDefault="00E12A2E" w:rsidP="00752221">
      <w:pPr>
        <w:rPr>
          <w:rFonts w:ascii="Times New Roman" w:hAnsi="Times New Roman"/>
          <w:sz w:val="24"/>
          <w:szCs w:val="24"/>
          <w:lang w:val="en-US"/>
        </w:rPr>
      </w:pPr>
      <w:r w:rsidRPr="00C44116">
        <w:rPr>
          <w:rFonts w:ascii="Times New Roman" w:hAnsi="Times New Roman"/>
          <w:b/>
          <w:sz w:val="24"/>
          <w:szCs w:val="24"/>
          <w:lang w:val="en-ZA"/>
        </w:rPr>
        <w:t>THE MV “NM CHERRY BLOSSOM”</w:t>
      </w:r>
      <w:r w:rsidRPr="00C44116">
        <w:rPr>
          <w:rFonts w:ascii="Times New Roman" w:hAnsi="Times New Roman"/>
          <w:b/>
          <w:sz w:val="24"/>
          <w:szCs w:val="24"/>
          <w:lang w:val="en-ZA"/>
        </w:rPr>
        <w:tab/>
      </w:r>
      <w:r w:rsidRPr="00C44116">
        <w:rPr>
          <w:rFonts w:ascii="Times New Roman" w:hAnsi="Times New Roman"/>
          <w:b/>
          <w:sz w:val="24"/>
          <w:szCs w:val="24"/>
          <w:lang w:val="en-ZA"/>
        </w:rPr>
        <w:tab/>
      </w:r>
      <w:r w:rsidRPr="00C44116">
        <w:rPr>
          <w:rFonts w:ascii="Times New Roman" w:hAnsi="Times New Roman"/>
          <w:b/>
          <w:sz w:val="24"/>
          <w:szCs w:val="24"/>
          <w:lang w:val="en-ZA"/>
        </w:rPr>
        <w:tab/>
      </w:r>
      <w:r w:rsidRPr="00C44116">
        <w:rPr>
          <w:rFonts w:ascii="Times New Roman" w:hAnsi="Times New Roman"/>
          <w:b/>
          <w:sz w:val="24"/>
          <w:szCs w:val="24"/>
          <w:lang w:val="en-ZA"/>
        </w:rPr>
        <w:tab/>
        <w:t xml:space="preserve"> </w:t>
      </w:r>
      <w:r w:rsidRPr="00C44116">
        <w:rPr>
          <w:rFonts w:ascii="Times New Roman" w:hAnsi="Times New Roman"/>
          <w:sz w:val="24"/>
          <w:szCs w:val="24"/>
          <w:lang w:val="en-ZA"/>
        </w:rPr>
        <w:t>Third Respondent</w:t>
      </w:r>
      <w:r w:rsidR="00C63EF6" w:rsidRPr="00C44116">
        <w:rPr>
          <w:rFonts w:ascii="Times New Roman" w:hAnsi="Times New Roman"/>
          <w:b/>
          <w:sz w:val="24"/>
          <w:szCs w:val="24"/>
          <w:lang w:val="en-US"/>
        </w:rPr>
        <w:tab/>
      </w:r>
      <w:r w:rsidR="00C63EF6" w:rsidRPr="00C44116">
        <w:rPr>
          <w:rFonts w:ascii="Times New Roman" w:hAnsi="Times New Roman"/>
          <w:b/>
          <w:sz w:val="24"/>
          <w:szCs w:val="24"/>
          <w:lang w:val="en-US"/>
        </w:rPr>
        <w:tab/>
      </w:r>
      <w:r w:rsidR="00C63EF6" w:rsidRPr="00C44116">
        <w:rPr>
          <w:rFonts w:ascii="Times New Roman" w:hAnsi="Times New Roman"/>
          <w:b/>
          <w:sz w:val="24"/>
          <w:szCs w:val="24"/>
          <w:lang w:val="en-US"/>
        </w:rPr>
        <w:tab/>
      </w:r>
      <w:r w:rsidR="00C63EF6" w:rsidRPr="00C44116">
        <w:rPr>
          <w:rFonts w:ascii="Times New Roman" w:hAnsi="Times New Roman"/>
          <w:b/>
          <w:sz w:val="24"/>
          <w:szCs w:val="24"/>
          <w:lang w:val="en-US"/>
        </w:rPr>
        <w:tab/>
      </w:r>
      <w:r w:rsidR="00C63EF6" w:rsidRPr="00C44116">
        <w:rPr>
          <w:rFonts w:ascii="Times New Roman" w:hAnsi="Times New Roman"/>
          <w:b/>
          <w:sz w:val="24"/>
          <w:szCs w:val="24"/>
          <w:lang w:val="en-US"/>
        </w:rPr>
        <w:tab/>
      </w:r>
      <w:r w:rsidR="00C63EF6" w:rsidRPr="00C44116">
        <w:rPr>
          <w:rFonts w:ascii="Times New Roman" w:hAnsi="Times New Roman"/>
          <w:b/>
          <w:sz w:val="24"/>
          <w:szCs w:val="24"/>
          <w:lang w:val="en-US"/>
        </w:rPr>
        <w:tab/>
      </w:r>
      <w:r w:rsidR="00C63EF6" w:rsidRPr="00C44116">
        <w:rPr>
          <w:rFonts w:ascii="Times New Roman" w:hAnsi="Times New Roman"/>
          <w:b/>
          <w:sz w:val="24"/>
          <w:szCs w:val="24"/>
          <w:lang w:val="en-US"/>
        </w:rPr>
        <w:tab/>
      </w:r>
      <w:r w:rsidR="00C63EF6" w:rsidRPr="00C44116">
        <w:rPr>
          <w:rFonts w:ascii="Times New Roman" w:hAnsi="Times New Roman"/>
          <w:b/>
          <w:sz w:val="24"/>
          <w:szCs w:val="24"/>
          <w:lang w:val="en-US"/>
        </w:rPr>
        <w:tab/>
      </w:r>
    </w:p>
    <w:p w:rsidR="00C63EF6" w:rsidRPr="00C44116" w:rsidRDefault="00C63EF6" w:rsidP="00752221">
      <w:pPr>
        <w:rPr>
          <w:rFonts w:ascii="Times New Roman" w:hAnsi="Times New Roman"/>
          <w:sz w:val="24"/>
          <w:szCs w:val="24"/>
          <w:lang w:val="en-US"/>
        </w:rPr>
      </w:pPr>
      <w:r w:rsidRPr="00C44116">
        <w:rPr>
          <w:rFonts w:ascii="Times New Roman" w:hAnsi="Times New Roman"/>
          <w:b/>
          <w:sz w:val="24"/>
          <w:szCs w:val="24"/>
          <w:lang w:val="en-US"/>
        </w:rPr>
        <w:t>OCP SA</w:t>
      </w:r>
      <w:r w:rsidRPr="00C44116">
        <w:rPr>
          <w:rFonts w:ascii="Times New Roman" w:hAnsi="Times New Roman"/>
          <w:b/>
          <w:sz w:val="24"/>
          <w:szCs w:val="24"/>
          <w:lang w:val="en-US"/>
        </w:rPr>
        <w:tab/>
      </w:r>
      <w:r w:rsidRPr="00C44116">
        <w:rPr>
          <w:rFonts w:ascii="Times New Roman" w:hAnsi="Times New Roman"/>
          <w:b/>
          <w:sz w:val="24"/>
          <w:szCs w:val="24"/>
          <w:lang w:val="en-US"/>
        </w:rPr>
        <w:tab/>
      </w:r>
      <w:r w:rsidRPr="00C44116">
        <w:rPr>
          <w:rFonts w:ascii="Times New Roman" w:hAnsi="Times New Roman"/>
          <w:b/>
          <w:sz w:val="24"/>
          <w:szCs w:val="24"/>
          <w:lang w:val="en-US"/>
        </w:rPr>
        <w:tab/>
      </w:r>
      <w:r w:rsidRPr="00C44116">
        <w:rPr>
          <w:rFonts w:ascii="Times New Roman" w:hAnsi="Times New Roman"/>
          <w:b/>
          <w:sz w:val="24"/>
          <w:szCs w:val="24"/>
          <w:lang w:val="en-US"/>
        </w:rPr>
        <w:tab/>
      </w:r>
      <w:r w:rsidRPr="00C44116">
        <w:rPr>
          <w:rFonts w:ascii="Times New Roman" w:hAnsi="Times New Roman"/>
          <w:b/>
          <w:sz w:val="24"/>
          <w:szCs w:val="24"/>
          <w:lang w:val="en-US"/>
        </w:rPr>
        <w:tab/>
      </w:r>
      <w:r w:rsidRPr="00C44116">
        <w:rPr>
          <w:rFonts w:ascii="Times New Roman" w:hAnsi="Times New Roman"/>
          <w:b/>
          <w:sz w:val="24"/>
          <w:szCs w:val="24"/>
          <w:lang w:val="en-US"/>
        </w:rPr>
        <w:tab/>
      </w:r>
      <w:r w:rsidRPr="00C44116">
        <w:rPr>
          <w:rFonts w:ascii="Times New Roman" w:hAnsi="Times New Roman"/>
          <w:b/>
          <w:sz w:val="24"/>
          <w:szCs w:val="24"/>
          <w:lang w:val="en-US"/>
        </w:rPr>
        <w:tab/>
        <w:t xml:space="preserve">           </w:t>
      </w:r>
      <w:r w:rsidRPr="00C44116">
        <w:rPr>
          <w:rFonts w:ascii="Times New Roman" w:hAnsi="Times New Roman"/>
          <w:sz w:val="24"/>
          <w:szCs w:val="24"/>
          <w:lang w:val="en-US"/>
        </w:rPr>
        <w:t>Fourth Respondent</w:t>
      </w:r>
    </w:p>
    <w:p w:rsidR="00C63EF6" w:rsidRPr="00C44116" w:rsidRDefault="00C63EF6" w:rsidP="00752221">
      <w:pPr>
        <w:rPr>
          <w:rFonts w:ascii="Times New Roman" w:hAnsi="Times New Roman"/>
          <w:sz w:val="24"/>
          <w:szCs w:val="24"/>
          <w:lang w:val="en-US"/>
        </w:rPr>
      </w:pPr>
    </w:p>
    <w:p w:rsidR="00C63EF6" w:rsidRPr="00C44116" w:rsidRDefault="00C63EF6" w:rsidP="00752221">
      <w:pPr>
        <w:rPr>
          <w:rFonts w:ascii="Times New Roman" w:hAnsi="Times New Roman"/>
          <w:sz w:val="24"/>
          <w:szCs w:val="24"/>
          <w:lang w:val="en-US"/>
        </w:rPr>
      </w:pPr>
      <w:r w:rsidRPr="00C44116">
        <w:rPr>
          <w:rFonts w:ascii="Times New Roman" w:hAnsi="Times New Roman"/>
          <w:b/>
          <w:sz w:val="24"/>
          <w:szCs w:val="24"/>
          <w:lang w:val="en-US"/>
        </w:rPr>
        <w:t>PHOSPHATES DE BOUCRAA SA</w:t>
      </w:r>
      <w:r w:rsidRPr="00C44116">
        <w:rPr>
          <w:rFonts w:ascii="Times New Roman" w:hAnsi="Times New Roman"/>
          <w:b/>
          <w:sz w:val="24"/>
          <w:szCs w:val="24"/>
          <w:lang w:val="en-US"/>
        </w:rPr>
        <w:tab/>
      </w:r>
      <w:r w:rsidRPr="00C44116">
        <w:rPr>
          <w:rFonts w:ascii="Times New Roman" w:hAnsi="Times New Roman"/>
          <w:b/>
          <w:sz w:val="24"/>
          <w:szCs w:val="24"/>
          <w:lang w:val="en-US"/>
        </w:rPr>
        <w:tab/>
      </w:r>
      <w:r w:rsidRPr="00C44116">
        <w:rPr>
          <w:rFonts w:ascii="Times New Roman" w:hAnsi="Times New Roman"/>
          <w:b/>
          <w:sz w:val="24"/>
          <w:szCs w:val="24"/>
          <w:lang w:val="en-US"/>
        </w:rPr>
        <w:tab/>
      </w:r>
      <w:r w:rsidRPr="00C44116">
        <w:rPr>
          <w:rFonts w:ascii="Times New Roman" w:hAnsi="Times New Roman"/>
          <w:b/>
          <w:sz w:val="24"/>
          <w:szCs w:val="24"/>
          <w:lang w:val="en-US"/>
        </w:rPr>
        <w:tab/>
        <w:t xml:space="preserve">  </w:t>
      </w:r>
      <w:r w:rsidRPr="00C44116">
        <w:rPr>
          <w:rFonts w:ascii="Times New Roman" w:hAnsi="Times New Roman"/>
          <w:sz w:val="24"/>
          <w:szCs w:val="24"/>
          <w:lang w:val="en-US"/>
        </w:rPr>
        <w:t>Fifth Respondent</w:t>
      </w:r>
    </w:p>
    <w:p w:rsidR="00C63EF6" w:rsidRPr="00C44116" w:rsidRDefault="00C63EF6" w:rsidP="00752221">
      <w:pPr>
        <w:rPr>
          <w:rFonts w:ascii="Times New Roman" w:hAnsi="Times New Roman"/>
          <w:sz w:val="24"/>
          <w:szCs w:val="24"/>
          <w:lang w:val="en-US"/>
        </w:rPr>
      </w:pPr>
    </w:p>
    <w:p w:rsidR="004A1C8A" w:rsidRPr="00C44116" w:rsidRDefault="00C63EF6" w:rsidP="00752221">
      <w:pPr>
        <w:rPr>
          <w:rFonts w:ascii="Times New Roman" w:hAnsi="Times New Roman"/>
          <w:b/>
          <w:sz w:val="24"/>
          <w:szCs w:val="24"/>
          <w:lang w:val="en-US"/>
        </w:rPr>
      </w:pPr>
      <w:r w:rsidRPr="00C44116">
        <w:rPr>
          <w:rFonts w:ascii="Times New Roman" w:hAnsi="Times New Roman"/>
          <w:b/>
          <w:sz w:val="24"/>
          <w:szCs w:val="24"/>
          <w:lang w:val="en-US"/>
        </w:rPr>
        <w:t xml:space="preserve">THE MINISTER OF INTERNATIONAL RELATIONS AND </w:t>
      </w:r>
    </w:p>
    <w:p w:rsidR="00C63EF6" w:rsidRPr="00C44116" w:rsidRDefault="00C63EF6" w:rsidP="00752221">
      <w:pPr>
        <w:rPr>
          <w:rFonts w:ascii="Times New Roman" w:hAnsi="Times New Roman"/>
          <w:sz w:val="24"/>
          <w:szCs w:val="24"/>
          <w:lang w:val="en-US"/>
        </w:rPr>
      </w:pPr>
      <w:r w:rsidRPr="00C44116">
        <w:rPr>
          <w:rFonts w:ascii="Times New Roman" w:hAnsi="Times New Roman"/>
          <w:b/>
          <w:sz w:val="24"/>
          <w:szCs w:val="24"/>
          <w:lang w:val="en-US"/>
        </w:rPr>
        <w:t>COOPERATION</w:t>
      </w:r>
      <w:r w:rsidR="00161C2C" w:rsidRPr="00C44116">
        <w:rPr>
          <w:rFonts w:ascii="Times New Roman" w:hAnsi="Times New Roman"/>
          <w:b/>
          <w:sz w:val="24"/>
          <w:szCs w:val="24"/>
          <w:lang w:val="en-US"/>
        </w:rPr>
        <w:t xml:space="preserve"> OF THE REPUBLIC OF</w:t>
      </w:r>
      <w:r w:rsidR="004A1C8A" w:rsidRPr="00C44116">
        <w:rPr>
          <w:rFonts w:ascii="Times New Roman" w:hAnsi="Times New Roman"/>
          <w:b/>
          <w:sz w:val="24"/>
          <w:szCs w:val="24"/>
          <w:lang w:val="en-US"/>
        </w:rPr>
        <w:t xml:space="preserve"> </w:t>
      </w:r>
      <w:r w:rsidR="00161C2C" w:rsidRPr="00C44116">
        <w:rPr>
          <w:rFonts w:ascii="Times New Roman" w:hAnsi="Times New Roman"/>
          <w:b/>
          <w:sz w:val="24"/>
          <w:szCs w:val="24"/>
          <w:lang w:val="en-US"/>
        </w:rPr>
        <w:t>SOUTH AFRICA</w:t>
      </w:r>
      <w:r w:rsidR="00161C2C" w:rsidRPr="00C44116">
        <w:rPr>
          <w:rFonts w:ascii="Times New Roman" w:hAnsi="Times New Roman"/>
          <w:b/>
          <w:sz w:val="24"/>
          <w:szCs w:val="24"/>
          <w:lang w:val="en-US"/>
        </w:rPr>
        <w:tab/>
      </w:r>
      <w:r w:rsidRPr="00C44116">
        <w:rPr>
          <w:rFonts w:ascii="Times New Roman" w:hAnsi="Times New Roman"/>
          <w:b/>
          <w:sz w:val="24"/>
          <w:szCs w:val="24"/>
          <w:lang w:val="en-US"/>
        </w:rPr>
        <w:t xml:space="preserve">  </w:t>
      </w:r>
      <w:r w:rsidRPr="00C44116">
        <w:rPr>
          <w:rFonts w:ascii="Times New Roman" w:hAnsi="Times New Roman"/>
          <w:sz w:val="24"/>
          <w:szCs w:val="24"/>
          <w:lang w:val="en-US"/>
        </w:rPr>
        <w:t>Sixth Respondent</w:t>
      </w:r>
    </w:p>
    <w:p w:rsidR="00DC3FFD" w:rsidRPr="00C44116" w:rsidRDefault="00DC3FFD" w:rsidP="00492361">
      <w:pPr>
        <w:pBdr>
          <w:bottom w:val="single" w:sz="12" w:space="1" w:color="auto"/>
        </w:pBdr>
        <w:rPr>
          <w:rFonts w:ascii="Times New Roman" w:hAnsi="Times New Roman"/>
          <w:sz w:val="24"/>
          <w:szCs w:val="24"/>
          <w:lang w:val="en-US"/>
        </w:rPr>
      </w:pPr>
    </w:p>
    <w:p w:rsidR="00EF3BF4" w:rsidRPr="00C44116" w:rsidRDefault="00EF3BF4" w:rsidP="00471D8A">
      <w:pPr>
        <w:pStyle w:val="Heading9"/>
        <w:rPr>
          <w:rFonts w:cs="Times New Roman"/>
          <w:szCs w:val="24"/>
        </w:rPr>
      </w:pPr>
    </w:p>
    <w:p w:rsidR="00471D8A" w:rsidRPr="00C44116" w:rsidRDefault="00B3631F" w:rsidP="004F3F0C">
      <w:pPr>
        <w:pStyle w:val="Heading9"/>
        <w:pBdr>
          <w:bottom w:val="single" w:sz="12" w:space="1" w:color="auto"/>
        </w:pBdr>
        <w:spacing w:line="360" w:lineRule="auto"/>
        <w:jc w:val="center"/>
        <w:rPr>
          <w:rFonts w:cs="Times New Roman"/>
          <w:szCs w:val="24"/>
          <w:u w:val="none"/>
        </w:rPr>
      </w:pPr>
      <w:r w:rsidRPr="00C44116">
        <w:rPr>
          <w:rFonts w:cs="Times New Roman"/>
          <w:szCs w:val="24"/>
          <w:u w:val="none"/>
        </w:rPr>
        <w:t>APPLICANTS’</w:t>
      </w:r>
      <w:r w:rsidR="00B806FF" w:rsidRPr="00C44116">
        <w:rPr>
          <w:rFonts w:cs="Times New Roman"/>
          <w:szCs w:val="24"/>
          <w:u w:val="none"/>
        </w:rPr>
        <w:t xml:space="preserve"> NOTE ON ORAL ARGUMENT</w:t>
      </w:r>
      <w:r w:rsidR="00E12A2E" w:rsidRPr="00C44116">
        <w:rPr>
          <w:rFonts w:cs="Times New Roman"/>
          <w:szCs w:val="24"/>
          <w:u w:val="none"/>
        </w:rPr>
        <w:t xml:space="preserve"> </w:t>
      </w:r>
    </w:p>
    <w:p w:rsidR="00780456" w:rsidRPr="00C44116" w:rsidRDefault="00780456" w:rsidP="00003F93">
      <w:pPr>
        <w:pStyle w:val="Heading1"/>
        <w:tabs>
          <w:tab w:val="center" w:pos="4153"/>
        </w:tabs>
        <w:spacing w:before="0"/>
        <w:rPr>
          <w:rStyle w:val="Hyperlink"/>
          <w:rFonts w:eastAsia="Times New Roman" w:cs="Times New Roman"/>
          <w:b w:val="0"/>
          <w:noProof/>
          <w:szCs w:val="24"/>
        </w:rPr>
      </w:pPr>
    </w:p>
    <w:p w:rsidR="00780456" w:rsidRPr="00C44116" w:rsidRDefault="00780456" w:rsidP="00780456">
      <w:pPr>
        <w:rPr>
          <w:rFonts w:ascii="Times New Roman" w:hAnsi="Times New Roman"/>
          <w:sz w:val="24"/>
          <w:szCs w:val="24"/>
        </w:rPr>
      </w:pPr>
    </w:p>
    <w:p w:rsidR="00161C2C" w:rsidRPr="00C44116" w:rsidRDefault="00161C2C" w:rsidP="00003F93">
      <w:pPr>
        <w:pStyle w:val="Heading1"/>
        <w:tabs>
          <w:tab w:val="center" w:pos="4153"/>
        </w:tabs>
        <w:spacing w:before="0"/>
        <w:rPr>
          <w:rFonts w:cs="Times New Roman"/>
          <w:szCs w:val="24"/>
        </w:rPr>
      </w:pPr>
      <w:r w:rsidRPr="00C44116">
        <w:rPr>
          <w:rFonts w:cs="Times New Roman"/>
          <w:szCs w:val="24"/>
        </w:rPr>
        <w:t>INTRODUCTION</w:t>
      </w:r>
      <w:r w:rsidR="007558EC" w:rsidRPr="00C44116">
        <w:rPr>
          <w:rFonts w:cs="Times New Roman"/>
          <w:szCs w:val="24"/>
        </w:rPr>
        <w:tab/>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applicants stand by their original written submissions of 12 May 2017. </w:t>
      </w:r>
      <w:r w:rsidR="00054FAB" w:rsidRPr="00C44116">
        <w:rPr>
          <w:rFonts w:ascii="Times New Roman" w:hAnsi="Times New Roman"/>
          <w:sz w:val="24"/>
          <w:szCs w:val="24"/>
        </w:rPr>
        <w:t xml:space="preserve"> </w:t>
      </w:r>
      <w:r w:rsidRPr="00C44116">
        <w:rPr>
          <w:rFonts w:ascii="Times New Roman" w:hAnsi="Times New Roman"/>
          <w:sz w:val="24"/>
          <w:szCs w:val="24"/>
        </w:rPr>
        <w:t>The applicants have now had an opportunity to consider the heads of argument</w:t>
      </w:r>
      <w:r w:rsidR="00054FAB" w:rsidRPr="00C44116">
        <w:rPr>
          <w:rFonts w:ascii="Times New Roman" w:hAnsi="Times New Roman"/>
          <w:sz w:val="24"/>
          <w:szCs w:val="24"/>
        </w:rPr>
        <w:t xml:space="preserve"> filed on behalf of the fourth and fifth respondents (referred to below as </w:t>
      </w:r>
      <w:r w:rsidR="00054FAB" w:rsidRPr="00C44116">
        <w:rPr>
          <w:rFonts w:ascii="Times New Roman" w:hAnsi="Times New Roman"/>
          <w:b/>
          <w:sz w:val="24"/>
          <w:szCs w:val="24"/>
        </w:rPr>
        <w:t>“the respondents”</w:t>
      </w:r>
      <w:r w:rsidR="00054FAB" w:rsidRPr="00C44116">
        <w:rPr>
          <w:rFonts w:ascii="Times New Roman" w:hAnsi="Times New Roman"/>
          <w:sz w:val="24"/>
          <w:szCs w:val="24"/>
        </w:rPr>
        <w:t>)</w:t>
      </w:r>
      <w:r w:rsidRPr="00C44116">
        <w:rPr>
          <w:rFonts w:ascii="Times New Roman" w:hAnsi="Times New Roman"/>
          <w:sz w:val="24"/>
          <w:szCs w:val="24"/>
        </w:rPr>
        <w:t xml:space="preserve">. In order to assist this Court in the presentation of our oral argument, we have prepared this written note.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In th</w:t>
      </w:r>
      <w:r w:rsidR="00B806FF" w:rsidRPr="00C44116">
        <w:rPr>
          <w:rFonts w:ascii="Times New Roman" w:hAnsi="Times New Roman"/>
          <w:sz w:val="24"/>
          <w:szCs w:val="24"/>
        </w:rPr>
        <w:t>is</w:t>
      </w:r>
      <w:r w:rsidRPr="00C44116">
        <w:rPr>
          <w:rFonts w:ascii="Times New Roman" w:hAnsi="Times New Roman"/>
          <w:sz w:val="24"/>
          <w:szCs w:val="24"/>
        </w:rPr>
        <w:t xml:space="preserve"> note we deal with three issues in order to demonstrate that on </w:t>
      </w:r>
      <w:r w:rsidR="00054FAB" w:rsidRPr="00C44116">
        <w:rPr>
          <w:rFonts w:ascii="Times New Roman" w:hAnsi="Times New Roman"/>
          <w:sz w:val="24"/>
          <w:szCs w:val="24"/>
        </w:rPr>
        <w:t xml:space="preserve">the respondents’ </w:t>
      </w:r>
      <w:r w:rsidRPr="00C44116">
        <w:rPr>
          <w:rFonts w:ascii="Times New Roman" w:hAnsi="Times New Roman"/>
          <w:sz w:val="24"/>
          <w:szCs w:val="24"/>
        </w:rPr>
        <w:t xml:space="preserve">own argument, the rule should be confirmed.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First we deal with the characterisation of t</w:t>
      </w:r>
      <w:r w:rsidR="00054FAB" w:rsidRPr="00C44116">
        <w:rPr>
          <w:rFonts w:ascii="Times New Roman" w:hAnsi="Times New Roman"/>
          <w:sz w:val="24"/>
          <w:szCs w:val="24"/>
        </w:rPr>
        <w:t>he nature of this case; second</w:t>
      </w:r>
      <w:r w:rsidRPr="00C44116">
        <w:rPr>
          <w:rFonts w:ascii="Times New Roman" w:hAnsi="Times New Roman"/>
          <w:sz w:val="24"/>
          <w:szCs w:val="24"/>
        </w:rPr>
        <w:t xml:space="preserve"> the act of state doctrine; and third the </w:t>
      </w:r>
      <w:r w:rsidR="00B806FF" w:rsidRPr="00C44116">
        <w:rPr>
          <w:rFonts w:ascii="Times New Roman" w:hAnsi="Times New Roman"/>
          <w:sz w:val="24"/>
          <w:szCs w:val="24"/>
        </w:rPr>
        <w:t xml:space="preserve">interlinked </w:t>
      </w:r>
      <w:r w:rsidRPr="00C44116">
        <w:rPr>
          <w:rFonts w:ascii="Times New Roman" w:hAnsi="Times New Roman"/>
          <w:sz w:val="24"/>
          <w:szCs w:val="24"/>
        </w:rPr>
        <w:t>state immunity proposition advanced by</w:t>
      </w:r>
      <w:r w:rsidR="00054FAB" w:rsidRPr="00C44116">
        <w:rPr>
          <w:rFonts w:ascii="Times New Roman" w:hAnsi="Times New Roman"/>
          <w:sz w:val="24"/>
          <w:szCs w:val="24"/>
        </w:rPr>
        <w:t xml:space="preserve"> the respondents</w:t>
      </w:r>
      <w:r w:rsidRPr="00C44116">
        <w:rPr>
          <w:rFonts w:ascii="Times New Roman" w:hAnsi="Times New Roman"/>
          <w:sz w:val="24"/>
          <w:szCs w:val="24"/>
        </w:rPr>
        <w:t>.</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We emphasise that the respondents</w:t>
      </w:r>
      <w:r w:rsidR="00054FAB" w:rsidRPr="00C44116">
        <w:rPr>
          <w:rFonts w:ascii="Times New Roman" w:hAnsi="Times New Roman"/>
          <w:sz w:val="24"/>
          <w:szCs w:val="24"/>
        </w:rPr>
        <w:t>’</w:t>
      </w:r>
      <w:r w:rsidRPr="00C44116">
        <w:rPr>
          <w:rFonts w:ascii="Times New Roman" w:hAnsi="Times New Roman"/>
          <w:sz w:val="24"/>
          <w:szCs w:val="24"/>
        </w:rPr>
        <w:t xml:space="preserve"> mischaracterisation of the case, </w:t>
      </w:r>
      <w:r w:rsidR="00054FAB" w:rsidRPr="00C44116">
        <w:rPr>
          <w:rFonts w:ascii="Times New Roman" w:hAnsi="Times New Roman"/>
          <w:sz w:val="24"/>
          <w:szCs w:val="24"/>
        </w:rPr>
        <w:t xml:space="preserve">and </w:t>
      </w:r>
      <w:r w:rsidRPr="00C44116">
        <w:rPr>
          <w:rFonts w:ascii="Times New Roman" w:hAnsi="Times New Roman"/>
          <w:sz w:val="24"/>
          <w:szCs w:val="24"/>
        </w:rPr>
        <w:t xml:space="preserve">their misapplication </w:t>
      </w:r>
      <w:r w:rsidR="00B806FF" w:rsidRPr="00C44116">
        <w:rPr>
          <w:rFonts w:ascii="Times New Roman" w:hAnsi="Times New Roman"/>
          <w:sz w:val="24"/>
          <w:szCs w:val="24"/>
        </w:rPr>
        <w:t xml:space="preserve">(in opposition to this application) </w:t>
      </w:r>
      <w:r w:rsidRPr="00C44116">
        <w:rPr>
          <w:rFonts w:ascii="Times New Roman" w:hAnsi="Times New Roman"/>
          <w:sz w:val="24"/>
          <w:szCs w:val="24"/>
        </w:rPr>
        <w:t>of both act of state and state immunity doctrines, suggest strongly that the relief sought by the applicants falls to be granted.</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ouster argument by the respondents, has echoed </w:t>
      </w:r>
      <w:r w:rsidR="00054FAB" w:rsidRPr="00C44116">
        <w:rPr>
          <w:rFonts w:ascii="Times New Roman" w:hAnsi="Times New Roman"/>
          <w:sz w:val="24"/>
          <w:szCs w:val="24"/>
        </w:rPr>
        <w:t xml:space="preserve">a </w:t>
      </w:r>
      <w:r w:rsidRPr="00C44116">
        <w:rPr>
          <w:rFonts w:ascii="Times New Roman" w:hAnsi="Times New Roman"/>
          <w:sz w:val="24"/>
          <w:szCs w:val="24"/>
        </w:rPr>
        <w:t xml:space="preserve">refrain </w:t>
      </w:r>
      <w:r w:rsidR="00054FAB" w:rsidRPr="00C44116">
        <w:rPr>
          <w:rFonts w:ascii="Times New Roman" w:hAnsi="Times New Roman"/>
          <w:sz w:val="24"/>
          <w:szCs w:val="24"/>
        </w:rPr>
        <w:t xml:space="preserve">repeated </w:t>
      </w:r>
      <w:r w:rsidRPr="00C44116">
        <w:rPr>
          <w:rFonts w:ascii="Times New Roman" w:hAnsi="Times New Roman"/>
          <w:sz w:val="24"/>
          <w:szCs w:val="24"/>
        </w:rPr>
        <w:t xml:space="preserve">over the last 25 years </w:t>
      </w:r>
      <w:r w:rsidR="00B806FF" w:rsidRPr="00C44116">
        <w:rPr>
          <w:rFonts w:ascii="Times New Roman" w:hAnsi="Times New Roman"/>
          <w:sz w:val="24"/>
          <w:szCs w:val="24"/>
        </w:rPr>
        <w:t xml:space="preserve">often by government respondents </w:t>
      </w:r>
      <w:r w:rsidR="00054FAB" w:rsidRPr="00C44116">
        <w:rPr>
          <w:rFonts w:ascii="Times New Roman" w:hAnsi="Times New Roman"/>
          <w:sz w:val="24"/>
          <w:szCs w:val="24"/>
        </w:rPr>
        <w:t xml:space="preserve">that </w:t>
      </w:r>
      <w:r w:rsidR="00B806FF" w:rsidRPr="00C44116">
        <w:rPr>
          <w:rFonts w:ascii="Times New Roman" w:hAnsi="Times New Roman"/>
          <w:sz w:val="24"/>
          <w:szCs w:val="24"/>
        </w:rPr>
        <w:t xml:space="preserve">the adjudication of </w:t>
      </w:r>
      <w:r w:rsidRPr="00C44116">
        <w:rPr>
          <w:rFonts w:ascii="Times New Roman" w:hAnsi="Times New Roman"/>
          <w:sz w:val="24"/>
          <w:szCs w:val="24"/>
        </w:rPr>
        <w:t>case</w:t>
      </w:r>
      <w:r w:rsidR="00054FAB" w:rsidRPr="00C44116">
        <w:rPr>
          <w:rFonts w:ascii="Times New Roman" w:hAnsi="Times New Roman"/>
          <w:sz w:val="24"/>
          <w:szCs w:val="24"/>
        </w:rPr>
        <w:t xml:space="preserve">s should be avoided </w:t>
      </w:r>
      <w:r w:rsidRPr="00C44116">
        <w:rPr>
          <w:rFonts w:ascii="Times New Roman" w:hAnsi="Times New Roman"/>
          <w:sz w:val="24"/>
          <w:szCs w:val="24"/>
        </w:rPr>
        <w:t>because of separation of powers concerns. The C</w:t>
      </w:r>
      <w:r w:rsidR="00054FAB" w:rsidRPr="00C44116">
        <w:rPr>
          <w:rFonts w:ascii="Times New Roman" w:hAnsi="Times New Roman"/>
          <w:sz w:val="24"/>
          <w:szCs w:val="24"/>
        </w:rPr>
        <w:t xml:space="preserve">onstitutional </w:t>
      </w:r>
      <w:r w:rsidRPr="00C44116">
        <w:rPr>
          <w:rFonts w:ascii="Times New Roman" w:hAnsi="Times New Roman"/>
          <w:sz w:val="24"/>
          <w:szCs w:val="24"/>
        </w:rPr>
        <w:t>C</w:t>
      </w:r>
      <w:r w:rsidR="00054FAB" w:rsidRPr="00C44116">
        <w:rPr>
          <w:rFonts w:ascii="Times New Roman" w:hAnsi="Times New Roman"/>
          <w:sz w:val="24"/>
          <w:szCs w:val="24"/>
        </w:rPr>
        <w:t>ourt</w:t>
      </w:r>
      <w:r w:rsidRPr="00C44116">
        <w:rPr>
          <w:rFonts w:ascii="Times New Roman" w:hAnsi="Times New Roman"/>
          <w:sz w:val="24"/>
          <w:szCs w:val="24"/>
        </w:rPr>
        <w:t xml:space="preserve"> and other courts have repeatedly rejected those claims.</w:t>
      </w:r>
    </w:p>
    <w:p w:rsidR="00780456" w:rsidRPr="00C44116" w:rsidRDefault="00054FAB" w:rsidP="00780456">
      <w:pPr>
        <w:spacing w:before="360" w:after="360" w:line="480" w:lineRule="auto"/>
        <w:jc w:val="both"/>
        <w:rPr>
          <w:rFonts w:ascii="Times New Roman" w:hAnsi="Times New Roman"/>
          <w:b/>
          <w:sz w:val="24"/>
          <w:szCs w:val="24"/>
        </w:rPr>
      </w:pPr>
      <w:r w:rsidRPr="00C44116">
        <w:rPr>
          <w:rFonts w:ascii="Times New Roman" w:hAnsi="Times New Roman"/>
          <w:b/>
          <w:sz w:val="24"/>
          <w:szCs w:val="24"/>
        </w:rPr>
        <w:t>THE NATURE OF THIS CASE</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This case is a South African case dealing with South African law und</w:t>
      </w:r>
      <w:r w:rsidR="00054FAB" w:rsidRPr="00C44116">
        <w:rPr>
          <w:rFonts w:ascii="Times New Roman" w:hAnsi="Times New Roman"/>
          <w:sz w:val="24"/>
          <w:szCs w:val="24"/>
        </w:rPr>
        <w:t>er the Constitution</w:t>
      </w:r>
      <w:r w:rsidR="00B806FF" w:rsidRPr="00C44116">
        <w:rPr>
          <w:rFonts w:ascii="Times New Roman" w:hAnsi="Times New Roman"/>
          <w:sz w:val="24"/>
          <w:szCs w:val="24"/>
        </w:rPr>
        <w:t>, by a South African court</w:t>
      </w:r>
      <w:r w:rsidR="00054FAB" w:rsidRPr="00C44116">
        <w:rPr>
          <w:rFonts w:ascii="Times New Roman" w:hAnsi="Times New Roman"/>
          <w:sz w:val="24"/>
          <w:szCs w:val="24"/>
        </w:rPr>
        <w:t>.</w:t>
      </w:r>
      <w:r w:rsidRPr="00C44116">
        <w:rPr>
          <w:rFonts w:ascii="Times New Roman" w:hAnsi="Times New Roman"/>
          <w:sz w:val="24"/>
          <w:szCs w:val="24"/>
        </w:rPr>
        <w:t xml:space="preserv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It is about property situate within this Court’s jurisdiction</w:t>
      </w:r>
      <w:r w:rsidR="00054FAB" w:rsidRPr="00C44116">
        <w:rPr>
          <w:rFonts w:ascii="Times New Roman" w:hAnsi="Times New Roman"/>
          <w:sz w:val="24"/>
          <w:szCs w:val="24"/>
        </w:rPr>
        <w:t>,</w:t>
      </w:r>
      <w:r w:rsidRPr="00C44116">
        <w:rPr>
          <w:rFonts w:ascii="Times New Roman" w:hAnsi="Times New Roman"/>
          <w:sz w:val="24"/>
          <w:szCs w:val="24"/>
        </w:rPr>
        <w:t xml:space="preserve"> and who owns the property. That is the </w:t>
      </w:r>
      <w:r w:rsidR="00B806FF" w:rsidRPr="00C44116">
        <w:rPr>
          <w:rFonts w:ascii="Times New Roman" w:hAnsi="Times New Roman"/>
          <w:sz w:val="24"/>
          <w:szCs w:val="24"/>
        </w:rPr>
        <w:t xml:space="preserve">heart </w:t>
      </w:r>
      <w:r w:rsidRPr="00C44116">
        <w:rPr>
          <w:rFonts w:ascii="Times New Roman" w:hAnsi="Times New Roman"/>
          <w:sz w:val="24"/>
          <w:szCs w:val="24"/>
        </w:rPr>
        <w:t>of the case.</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In order to determine that core issue South African law, and where applicable international law, dictate.</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Constitution, the supreme law, is clear on the role of international law in the South African constitutional setting.</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 xml:space="preserve">International law is part of South African law, unless it is inconsistent with the Constitution or an </w:t>
      </w:r>
      <w:r w:rsidR="00054FAB" w:rsidRPr="00C44116">
        <w:rPr>
          <w:rFonts w:ascii="Times New Roman" w:hAnsi="Times New Roman"/>
          <w:sz w:val="24"/>
          <w:szCs w:val="24"/>
        </w:rPr>
        <w:t>A</w:t>
      </w:r>
      <w:r w:rsidRPr="00C44116">
        <w:rPr>
          <w:rFonts w:ascii="Times New Roman" w:hAnsi="Times New Roman"/>
          <w:sz w:val="24"/>
          <w:szCs w:val="24"/>
        </w:rPr>
        <w:t xml:space="preserve">ct of </w:t>
      </w:r>
      <w:r w:rsidR="00054FAB" w:rsidRPr="00C44116">
        <w:rPr>
          <w:rFonts w:ascii="Times New Roman" w:hAnsi="Times New Roman"/>
          <w:sz w:val="24"/>
          <w:szCs w:val="24"/>
        </w:rPr>
        <w:t>P</w:t>
      </w:r>
      <w:r w:rsidRPr="00C44116">
        <w:rPr>
          <w:rFonts w:ascii="Times New Roman" w:hAnsi="Times New Roman"/>
          <w:sz w:val="24"/>
          <w:szCs w:val="24"/>
        </w:rPr>
        <w:t>arliament.</w:t>
      </w:r>
      <w:r w:rsidR="00054FAB" w:rsidRPr="00C44116">
        <w:rPr>
          <w:rStyle w:val="FootnoteReference"/>
          <w:rFonts w:ascii="Times New Roman" w:hAnsi="Times New Roman"/>
          <w:sz w:val="24"/>
          <w:szCs w:val="24"/>
        </w:rPr>
        <w:footnoteReference w:id="1"/>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International law, and this is not in dispute, does not recognise </w:t>
      </w:r>
      <w:r w:rsidR="00054FAB" w:rsidRPr="00C44116">
        <w:rPr>
          <w:rFonts w:ascii="Times New Roman" w:hAnsi="Times New Roman"/>
          <w:sz w:val="24"/>
          <w:szCs w:val="24"/>
        </w:rPr>
        <w:t>“</w:t>
      </w:r>
      <w:r w:rsidRPr="00C44116">
        <w:rPr>
          <w:rFonts w:ascii="Times New Roman" w:hAnsi="Times New Roman"/>
          <w:i/>
          <w:sz w:val="24"/>
          <w:szCs w:val="24"/>
        </w:rPr>
        <w:t xml:space="preserve">the principle enshrined in Moroccan law that </w:t>
      </w:r>
      <w:r w:rsidR="00054FAB" w:rsidRPr="00C44116">
        <w:rPr>
          <w:rFonts w:ascii="Times New Roman" w:hAnsi="Times New Roman"/>
          <w:i/>
          <w:sz w:val="24"/>
          <w:szCs w:val="24"/>
        </w:rPr>
        <w:t xml:space="preserve">Morocco exercises sovereignty over the Southern Provinces </w:t>
      </w:r>
      <w:r w:rsidRPr="00C44116">
        <w:rPr>
          <w:rFonts w:ascii="Times New Roman" w:hAnsi="Times New Roman"/>
          <w:i/>
          <w:sz w:val="24"/>
          <w:szCs w:val="24"/>
        </w:rPr>
        <w:t>of Morocco</w:t>
      </w:r>
      <w:r w:rsidR="00054FAB" w:rsidRPr="00C44116">
        <w:rPr>
          <w:rFonts w:ascii="Times New Roman" w:hAnsi="Times New Roman"/>
          <w:sz w:val="24"/>
          <w:szCs w:val="24"/>
        </w:rPr>
        <w:t>”</w:t>
      </w:r>
      <w:r w:rsidRPr="00C44116">
        <w:rPr>
          <w:rFonts w:ascii="Times New Roman" w:hAnsi="Times New Roman"/>
          <w:sz w:val="24"/>
          <w:szCs w:val="24"/>
        </w:rPr>
        <w:t>.</w:t>
      </w:r>
      <w:r w:rsidR="00054FAB" w:rsidRPr="00C44116">
        <w:rPr>
          <w:rStyle w:val="FootnoteReference"/>
          <w:rFonts w:ascii="Times New Roman" w:hAnsi="Times New Roman"/>
          <w:sz w:val="24"/>
          <w:szCs w:val="24"/>
        </w:rPr>
        <w:footnoteReference w:id="2"/>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Therefore, neither does South African law. And that is the law which this Court is to apply in the adjudication of the dispute, which is an ownership dispute.</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What the case does not concern, although</w:t>
      </w:r>
      <w:r w:rsidR="00054FAB" w:rsidRPr="00C44116">
        <w:rPr>
          <w:rFonts w:ascii="Times New Roman" w:hAnsi="Times New Roman"/>
          <w:sz w:val="24"/>
          <w:szCs w:val="24"/>
        </w:rPr>
        <w:t xml:space="preserve"> the respondents</w:t>
      </w:r>
      <w:r w:rsidRPr="00C44116">
        <w:rPr>
          <w:rFonts w:ascii="Times New Roman" w:hAnsi="Times New Roman"/>
          <w:sz w:val="24"/>
          <w:szCs w:val="24"/>
        </w:rPr>
        <w:t>, seek to characterise the case as such, is the validity under S</w:t>
      </w:r>
      <w:r w:rsidR="00054FAB" w:rsidRPr="00C44116">
        <w:rPr>
          <w:rFonts w:ascii="Times New Roman" w:hAnsi="Times New Roman"/>
          <w:sz w:val="24"/>
          <w:szCs w:val="24"/>
        </w:rPr>
        <w:t xml:space="preserve">outh </w:t>
      </w:r>
      <w:r w:rsidRPr="00C44116">
        <w:rPr>
          <w:rFonts w:ascii="Times New Roman" w:hAnsi="Times New Roman"/>
          <w:sz w:val="24"/>
          <w:szCs w:val="24"/>
        </w:rPr>
        <w:t>A</w:t>
      </w:r>
      <w:r w:rsidR="00054FAB" w:rsidRPr="00C44116">
        <w:rPr>
          <w:rFonts w:ascii="Times New Roman" w:hAnsi="Times New Roman"/>
          <w:sz w:val="24"/>
          <w:szCs w:val="24"/>
        </w:rPr>
        <w:t>frican</w:t>
      </w:r>
      <w:r w:rsidRPr="00C44116">
        <w:rPr>
          <w:rFonts w:ascii="Times New Roman" w:hAnsi="Times New Roman"/>
          <w:sz w:val="24"/>
          <w:szCs w:val="24"/>
        </w:rPr>
        <w:t xml:space="preserve"> law of any conduct</w:t>
      </w:r>
      <w:r w:rsidR="002952DD" w:rsidRPr="00C44116">
        <w:rPr>
          <w:rStyle w:val="FootnoteReference"/>
          <w:rFonts w:ascii="Times New Roman" w:hAnsi="Times New Roman"/>
          <w:sz w:val="24"/>
          <w:szCs w:val="24"/>
        </w:rPr>
        <w:footnoteReference w:id="3"/>
      </w:r>
      <w:r w:rsidRPr="00C44116">
        <w:rPr>
          <w:rFonts w:ascii="Times New Roman" w:hAnsi="Times New Roman"/>
          <w:sz w:val="24"/>
          <w:szCs w:val="24"/>
        </w:rPr>
        <w:t xml:space="preserve"> or law of the Moroccan state.  </w:t>
      </w:r>
    </w:p>
    <w:p w:rsidR="00A35BD1" w:rsidRPr="00C44116" w:rsidRDefault="002952DD"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respondents refer to the diplomatic </w:t>
      </w:r>
      <w:r w:rsidR="00780456" w:rsidRPr="00C44116">
        <w:rPr>
          <w:rFonts w:ascii="Times New Roman" w:hAnsi="Times New Roman"/>
          <w:sz w:val="24"/>
          <w:szCs w:val="24"/>
        </w:rPr>
        <w:t>process</w:t>
      </w:r>
      <w:r w:rsidRPr="00C44116">
        <w:rPr>
          <w:rFonts w:ascii="Times New Roman" w:hAnsi="Times New Roman"/>
          <w:sz w:val="24"/>
          <w:szCs w:val="24"/>
        </w:rPr>
        <w:t>es which are underway.</w:t>
      </w:r>
      <w:r w:rsidR="00A35BD1" w:rsidRPr="00C44116">
        <w:rPr>
          <w:rFonts w:ascii="Times New Roman" w:hAnsi="Times New Roman"/>
          <w:sz w:val="24"/>
          <w:szCs w:val="24"/>
        </w:rPr>
        <w:t xml:space="preserve">  In doing so the respondents refer </w:t>
      </w:r>
      <w:r w:rsidR="00B806FF" w:rsidRPr="00C44116">
        <w:rPr>
          <w:rFonts w:ascii="Times New Roman" w:hAnsi="Times New Roman"/>
          <w:sz w:val="24"/>
          <w:szCs w:val="24"/>
        </w:rPr>
        <w:t>(</w:t>
      </w:r>
      <w:r w:rsidR="00A35BD1" w:rsidRPr="00C44116">
        <w:rPr>
          <w:rFonts w:ascii="Times New Roman" w:hAnsi="Times New Roman"/>
          <w:sz w:val="24"/>
          <w:szCs w:val="24"/>
        </w:rPr>
        <w:t>improperly</w:t>
      </w:r>
      <w:r w:rsidR="00B806FF" w:rsidRPr="00C44116">
        <w:rPr>
          <w:rFonts w:ascii="Times New Roman" w:hAnsi="Times New Roman"/>
          <w:sz w:val="24"/>
          <w:szCs w:val="24"/>
        </w:rPr>
        <w:t>)</w:t>
      </w:r>
      <w:r w:rsidR="00A35BD1" w:rsidRPr="00C44116">
        <w:rPr>
          <w:rFonts w:ascii="Times New Roman" w:hAnsi="Times New Roman"/>
          <w:sz w:val="24"/>
          <w:szCs w:val="24"/>
        </w:rPr>
        <w:t xml:space="preserve"> to reams of evidence which did not form any part of their answering affidavits (see paras 37-41) and the applicants have accordingly been deprived of the opportunity to respond to this evidence.  This </w:t>
      </w:r>
      <w:r w:rsidR="00B806FF" w:rsidRPr="00C44116">
        <w:rPr>
          <w:rFonts w:ascii="Times New Roman" w:hAnsi="Times New Roman"/>
          <w:sz w:val="24"/>
          <w:szCs w:val="24"/>
        </w:rPr>
        <w:t>T</w:t>
      </w:r>
      <w:r w:rsidR="00A35BD1" w:rsidRPr="00C44116">
        <w:rPr>
          <w:rFonts w:ascii="Times New Roman" w:hAnsi="Times New Roman"/>
          <w:sz w:val="24"/>
          <w:szCs w:val="24"/>
        </w:rPr>
        <w:t>his material</w:t>
      </w:r>
      <w:r w:rsidR="00B806FF" w:rsidRPr="00C44116">
        <w:rPr>
          <w:rFonts w:ascii="Times New Roman" w:hAnsi="Times New Roman"/>
          <w:sz w:val="24"/>
          <w:szCs w:val="24"/>
        </w:rPr>
        <w:t xml:space="preserve"> is not helpful to this Court for this reason, but also it is irrelevant to the question of the ownership of the Cargo</w:t>
      </w:r>
      <w:r w:rsidR="00A35BD1" w:rsidRPr="00C44116">
        <w:rPr>
          <w:rFonts w:ascii="Times New Roman" w:hAnsi="Times New Roman"/>
          <w:sz w:val="24"/>
          <w:szCs w:val="24"/>
        </w:rPr>
        <w:t xml:space="preserve">. </w:t>
      </w:r>
    </w:p>
    <w:p w:rsidR="00B806FF" w:rsidRPr="00C44116" w:rsidRDefault="00A35BD1"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T</w:t>
      </w:r>
      <w:r w:rsidR="002952DD" w:rsidRPr="00C44116">
        <w:rPr>
          <w:rFonts w:ascii="Times New Roman" w:hAnsi="Times New Roman"/>
          <w:sz w:val="24"/>
          <w:szCs w:val="24"/>
        </w:rPr>
        <w:t>he legal principles upon which the applicants rely, such as Morocco having no territorial claim to Western Sahara, and the permanent sovereignty of natural resources vesting in the peoples of non-self-governing territories, are settled in law</w:t>
      </w:r>
      <w:r w:rsidR="00B806FF" w:rsidRPr="00C44116">
        <w:rPr>
          <w:rFonts w:ascii="Times New Roman" w:hAnsi="Times New Roman"/>
          <w:sz w:val="24"/>
          <w:szCs w:val="24"/>
        </w:rPr>
        <w:t>,</w:t>
      </w:r>
      <w:r w:rsidR="00A25DAF" w:rsidRPr="00C44116">
        <w:rPr>
          <w:rFonts w:ascii="Times New Roman" w:hAnsi="Times New Roman"/>
          <w:sz w:val="24"/>
          <w:szCs w:val="24"/>
        </w:rPr>
        <w:t xml:space="preserve"> </w:t>
      </w:r>
      <w:r w:rsidR="00B806FF" w:rsidRPr="00C44116">
        <w:rPr>
          <w:rFonts w:ascii="Times New Roman" w:hAnsi="Times New Roman"/>
          <w:sz w:val="24"/>
          <w:szCs w:val="24"/>
        </w:rPr>
        <w:t>international law and South African law.</w:t>
      </w:r>
    </w:p>
    <w:p w:rsidR="00780456" w:rsidRPr="00C44116" w:rsidRDefault="00A25DAF"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case is not about the Saharawis right to self-determination (which is settled), but rather about the proprietary rights which accompany that right to self-determination.  These derivative rights are not the subject of the diplomatic processes</w:t>
      </w:r>
      <w:r w:rsidR="00A4197C" w:rsidRPr="00C44116">
        <w:rPr>
          <w:rFonts w:ascii="Times New Roman" w:hAnsi="Times New Roman"/>
          <w:sz w:val="24"/>
          <w:szCs w:val="24"/>
        </w:rPr>
        <w:t>, and are properly determined by legal processes, and not diplomatic processes</w:t>
      </w:r>
      <w:r w:rsidRPr="00C44116">
        <w:rPr>
          <w:rFonts w:ascii="Times New Roman" w:hAnsi="Times New Roman"/>
          <w:sz w:val="24"/>
          <w:szCs w:val="24"/>
        </w:rPr>
        <w:t>.</w:t>
      </w:r>
    </w:p>
    <w:p w:rsidR="00780456" w:rsidRPr="00C44116" w:rsidRDefault="002952DD"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question of the o</w:t>
      </w:r>
      <w:r w:rsidR="00780456" w:rsidRPr="00C44116">
        <w:rPr>
          <w:rFonts w:ascii="Times New Roman" w:hAnsi="Times New Roman"/>
          <w:sz w:val="24"/>
          <w:szCs w:val="24"/>
        </w:rPr>
        <w:t xml:space="preserve">wnership </w:t>
      </w:r>
      <w:r w:rsidRPr="00C44116">
        <w:rPr>
          <w:rFonts w:ascii="Times New Roman" w:hAnsi="Times New Roman"/>
          <w:sz w:val="24"/>
          <w:szCs w:val="24"/>
        </w:rPr>
        <w:t xml:space="preserve">of the cargo on the “NM Cherry Blossom” </w:t>
      </w:r>
      <w:r w:rsidR="00780456" w:rsidRPr="00C44116">
        <w:rPr>
          <w:rFonts w:ascii="Times New Roman" w:hAnsi="Times New Roman"/>
          <w:sz w:val="24"/>
          <w:szCs w:val="24"/>
        </w:rPr>
        <w:t>can</w:t>
      </w:r>
      <w:r w:rsidRPr="00C44116">
        <w:rPr>
          <w:rFonts w:ascii="Times New Roman" w:hAnsi="Times New Roman"/>
          <w:sz w:val="24"/>
          <w:szCs w:val="24"/>
        </w:rPr>
        <w:t>no</w:t>
      </w:r>
      <w:r w:rsidR="00780456" w:rsidRPr="00C44116">
        <w:rPr>
          <w:rFonts w:ascii="Times New Roman" w:hAnsi="Times New Roman"/>
          <w:sz w:val="24"/>
          <w:szCs w:val="24"/>
        </w:rPr>
        <w:t xml:space="preserve">t effect </w:t>
      </w:r>
      <w:r w:rsidRPr="00C44116">
        <w:rPr>
          <w:rFonts w:ascii="Times New Roman" w:hAnsi="Times New Roman"/>
          <w:sz w:val="24"/>
          <w:szCs w:val="24"/>
        </w:rPr>
        <w:t xml:space="preserve">the </w:t>
      </w:r>
      <w:r w:rsidR="00780456" w:rsidRPr="00C44116">
        <w:rPr>
          <w:rFonts w:ascii="Times New Roman" w:hAnsi="Times New Roman"/>
          <w:sz w:val="24"/>
          <w:szCs w:val="24"/>
        </w:rPr>
        <w:t>peace process</w:t>
      </w:r>
      <w:r w:rsidRPr="00C44116">
        <w:rPr>
          <w:rFonts w:ascii="Times New Roman" w:hAnsi="Times New Roman"/>
          <w:sz w:val="24"/>
          <w:szCs w:val="24"/>
        </w:rPr>
        <w:t>.</w:t>
      </w:r>
    </w:p>
    <w:p w:rsidR="00B806FF" w:rsidRPr="00C44116" w:rsidRDefault="00B806FF"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Even were it to be found that it could that finding is legally irrelevant.</w:t>
      </w:r>
    </w:p>
    <w:p w:rsidR="00780456" w:rsidRPr="00C44116" w:rsidRDefault="002952DD"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In any event, the interdict sought is not comparable to the continued exploitation of the territory’s natural resources over decades. </w:t>
      </w:r>
      <w:r w:rsidR="00A25DAF" w:rsidRPr="00C44116">
        <w:rPr>
          <w:rFonts w:ascii="Times New Roman" w:hAnsi="Times New Roman"/>
          <w:sz w:val="24"/>
          <w:szCs w:val="24"/>
        </w:rPr>
        <w:t>If anything, i</w:t>
      </w:r>
      <w:r w:rsidRPr="00C44116">
        <w:rPr>
          <w:rFonts w:ascii="Times New Roman" w:hAnsi="Times New Roman"/>
          <w:sz w:val="24"/>
          <w:szCs w:val="24"/>
        </w:rPr>
        <w:t>t is the latter which is an impediment to the diplomatic process</w:t>
      </w:r>
      <w:r w:rsidR="00A25DAF" w:rsidRPr="00C44116">
        <w:rPr>
          <w:rFonts w:ascii="Times New Roman" w:hAnsi="Times New Roman"/>
          <w:sz w:val="24"/>
          <w:szCs w:val="24"/>
        </w:rPr>
        <w:t>es</w:t>
      </w:r>
      <w:r w:rsidRPr="00C44116">
        <w:rPr>
          <w:rFonts w:ascii="Times New Roman" w:hAnsi="Times New Roman"/>
          <w:sz w:val="24"/>
          <w:szCs w:val="24"/>
        </w:rPr>
        <w:t>.</w:t>
      </w:r>
      <w:r w:rsidR="00A4197C" w:rsidRPr="00C44116">
        <w:rPr>
          <w:rFonts w:ascii="Times New Roman" w:hAnsi="Times New Roman"/>
          <w:sz w:val="24"/>
          <w:szCs w:val="24"/>
        </w:rPr>
        <w:t xml:space="preserve">  The respondents’ suggestion that this application interferes with the peace process (see para 30) is</w:t>
      </w:r>
      <w:r w:rsidR="00B806FF" w:rsidRPr="00C44116">
        <w:rPr>
          <w:rFonts w:ascii="Times New Roman" w:hAnsi="Times New Roman"/>
          <w:sz w:val="24"/>
          <w:szCs w:val="24"/>
        </w:rPr>
        <w:t xml:space="preserve"> unhelpful; indeed, such a contention may be politically relevant, not legally so</w:t>
      </w:r>
      <w:r w:rsidR="00A4197C" w:rsidRPr="00C44116">
        <w:rPr>
          <w:rFonts w:ascii="Times New Roman" w:hAnsi="Times New Roman"/>
          <w:sz w:val="24"/>
          <w:szCs w:val="24"/>
        </w:rPr>
        <w:t>.</w:t>
      </w:r>
    </w:p>
    <w:p w:rsidR="00A35BD1" w:rsidRPr="00C44116" w:rsidRDefault="00A4197C"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In paragraph 3</w:t>
      </w:r>
      <w:r w:rsidR="00AA3FAD" w:rsidRPr="00C44116">
        <w:rPr>
          <w:rFonts w:ascii="Times New Roman" w:hAnsi="Times New Roman"/>
          <w:sz w:val="24"/>
          <w:szCs w:val="24"/>
        </w:rPr>
        <w:t>4</w:t>
      </w:r>
      <w:r w:rsidRPr="00C44116">
        <w:rPr>
          <w:rFonts w:ascii="Times New Roman" w:hAnsi="Times New Roman"/>
          <w:sz w:val="24"/>
          <w:szCs w:val="24"/>
        </w:rPr>
        <w:t xml:space="preserve"> of the heads the respondents challenge the ambit of the Polisario Front’s representation. There are several answers to this challenge.  </w:t>
      </w:r>
    </w:p>
    <w:p w:rsidR="00A35BD1" w:rsidRPr="00C44116" w:rsidRDefault="00A4197C" w:rsidP="00A35BD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First, it is a point which was not raised in the answering affid</w:t>
      </w:r>
      <w:r w:rsidR="00A35BD1" w:rsidRPr="00C44116">
        <w:rPr>
          <w:rFonts w:ascii="Times New Roman" w:hAnsi="Times New Roman"/>
          <w:sz w:val="24"/>
          <w:szCs w:val="24"/>
        </w:rPr>
        <w:t xml:space="preserve">avit. </w:t>
      </w:r>
    </w:p>
    <w:p w:rsidR="00A35BD1" w:rsidRPr="00C44116" w:rsidRDefault="00A4197C" w:rsidP="00A35BD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lastRenderedPageBreak/>
        <w:t xml:space="preserve">Second, </w:t>
      </w:r>
      <w:r w:rsidR="00AA3FAD" w:rsidRPr="00C44116">
        <w:rPr>
          <w:rFonts w:ascii="Times New Roman" w:hAnsi="Times New Roman"/>
          <w:sz w:val="24"/>
          <w:szCs w:val="24"/>
        </w:rPr>
        <w:t>the ownership of natural resources is a critical part of the building of an independent Saharawi state, which is one of Polisario’s constitutionally defined functions</w:t>
      </w:r>
      <w:r w:rsidR="00A35BD1" w:rsidRPr="00C44116">
        <w:rPr>
          <w:rFonts w:ascii="Times New Roman" w:hAnsi="Times New Roman"/>
          <w:sz w:val="24"/>
          <w:szCs w:val="24"/>
        </w:rPr>
        <w:t>.</w:t>
      </w:r>
      <w:r w:rsidR="00A35BD1" w:rsidRPr="00C44116">
        <w:rPr>
          <w:rStyle w:val="FootnoteReference"/>
          <w:rFonts w:ascii="Times New Roman" w:hAnsi="Times New Roman"/>
          <w:sz w:val="24"/>
          <w:szCs w:val="24"/>
        </w:rPr>
        <w:footnoteReference w:id="4"/>
      </w:r>
      <w:r w:rsidR="00A35BD1" w:rsidRPr="00C44116">
        <w:rPr>
          <w:rFonts w:ascii="Times New Roman" w:hAnsi="Times New Roman"/>
          <w:sz w:val="24"/>
          <w:szCs w:val="24"/>
        </w:rPr>
        <w:t xml:space="preserve"> </w:t>
      </w:r>
    </w:p>
    <w:p w:rsidR="00A35BD1" w:rsidRPr="00C44116" w:rsidRDefault="00A4197C" w:rsidP="00A35BD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Third, it relies upon an opinion by the Advocate </w:t>
      </w:r>
      <w:r w:rsidR="00893CDA" w:rsidRPr="00C44116">
        <w:rPr>
          <w:rFonts w:ascii="Times New Roman" w:hAnsi="Times New Roman"/>
          <w:sz w:val="24"/>
          <w:szCs w:val="24"/>
        </w:rPr>
        <w:t>G</w:t>
      </w:r>
      <w:r w:rsidRPr="00C44116">
        <w:rPr>
          <w:rFonts w:ascii="Times New Roman" w:hAnsi="Times New Roman"/>
          <w:sz w:val="24"/>
          <w:szCs w:val="24"/>
        </w:rPr>
        <w:t>eneral of the Court of Justice.</w:t>
      </w:r>
      <w:r w:rsidR="00893CDA" w:rsidRPr="00C44116">
        <w:rPr>
          <w:rFonts w:ascii="Times New Roman" w:hAnsi="Times New Roman"/>
          <w:sz w:val="24"/>
          <w:szCs w:val="24"/>
        </w:rPr>
        <w:t xml:space="preserve">  However, the authority for the opinion does not support the view expressed,</w:t>
      </w:r>
      <w:r w:rsidR="00893CDA" w:rsidRPr="00C44116">
        <w:rPr>
          <w:rStyle w:val="FootnoteReference"/>
          <w:rFonts w:ascii="Times New Roman" w:hAnsi="Times New Roman"/>
          <w:sz w:val="24"/>
          <w:szCs w:val="24"/>
        </w:rPr>
        <w:footnoteReference w:id="5"/>
      </w:r>
      <w:r w:rsidR="00893CDA" w:rsidRPr="00C44116">
        <w:rPr>
          <w:rFonts w:ascii="Times New Roman" w:hAnsi="Times New Roman"/>
          <w:sz w:val="24"/>
          <w:szCs w:val="24"/>
        </w:rPr>
        <w:t xml:space="preserve"> and the opinion did not form part of the judgment of the European Court</w:t>
      </w:r>
      <w:r w:rsidRPr="00C44116">
        <w:rPr>
          <w:rFonts w:ascii="Times New Roman" w:hAnsi="Times New Roman"/>
          <w:sz w:val="24"/>
          <w:szCs w:val="24"/>
        </w:rPr>
        <w:t xml:space="preserve"> </w:t>
      </w:r>
      <w:r w:rsidR="00893CDA" w:rsidRPr="00C44116">
        <w:rPr>
          <w:rFonts w:ascii="Times New Roman" w:hAnsi="Times New Roman"/>
          <w:sz w:val="24"/>
          <w:szCs w:val="24"/>
        </w:rPr>
        <w:t>of Justice.</w:t>
      </w:r>
      <w:r w:rsidR="00893CDA" w:rsidRPr="00C44116">
        <w:rPr>
          <w:rStyle w:val="FootnoteReference"/>
          <w:rFonts w:ascii="Times New Roman" w:hAnsi="Times New Roman"/>
          <w:sz w:val="24"/>
          <w:szCs w:val="24"/>
        </w:rPr>
        <w:footnoteReference w:id="6"/>
      </w:r>
      <w:r w:rsidR="00C97BAD" w:rsidRPr="00C44116">
        <w:rPr>
          <w:rFonts w:ascii="Times New Roman" w:hAnsi="Times New Roman"/>
          <w:sz w:val="24"/>
          <w:szCs w:val="24"/>
        </w:rPr>
        <w:t xml:space="preserve">  </w:t>
      </w:r>
    </w:p>
    <w:p w:rsidR="00A35BD1" w:rsidRPr="00C44116" w:rsidRDefault="00B806FF" w:rsidP="00A35BD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Four</w:t>
      </w:r>
      <w:r w:rsidR="00AA3FAD" w:rsidRPr="00C44116">
        <w:rPr>
          <w:rFonts w:ascii="Times New Roman" w:hAnsi="Times New Roman"/>
          <w:sz w:val="24"/>
          <w:szCs w:val="24"/>
        </w:rPr>
        <w:t>th, there is no suggestion</w:t>
      </w:r>
      <w:r w:rsidRPr="00C44116">
        <w:rPr>
          <w:rFonts w:ascii="Times New Roman" w:hAnsi="Times New Roman"/>
          <w:sz w:val="24"/>
          <w:szCs w:val="24"/>
        </w:rPr>
        <w:t>, as there could not be,</w:t>
      </w:r>
      <w:r w:rsidR="00AA3FAD" w:rsidRPr="00C44116">
        <w:rPr>
          <w:rFonts w:ascii="Times New Roman" w:hAnsi="Times New Roman"/>
          <w:sz w:val="24"/>
          <w:szCs w:val="24"/>
        </w:rPr>
        <w:t xml:space="preserve"> that South Africa’s recognition of the Polisario Front</w:t>
      </w:r>
      <w:r w:rsidR="00A4197C" w:rsidRPr="00C44116">
        <w:rPr>
          <w:rFonts w:ascii="Times New Roman" w:hAnsi="Times New Roman"/>
          <w:sz w:val="24"/>
          <w:szCs w:val="24"/>
        </w:rPr>
        <w:t xml:space="preserve"> </w:t>
      </w:r>
      <w:r w:rsidR="00AA3FAD" w:rsidRPr="00C44116">
        <w:rPr>
          <w:rFonts w:ascii="Times New Roman" w:hAnsi="Times New Roman"/>
          <w:sz w:val="24"/>
          <w:szCs w:val="24"/>
        </w:rPr>
        <w:t xml:space="preserve">is limited to political matters. </w:t>
      </w:r>
    </w:p>
    <w:p w:rsidR="00A4197C" w:rsidRPr="00C44116" w:rsidRDefault="00B806FF" w:rsidP="00A35BD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Fif</w:t>
      </w:r>
      <w:r w:rsidR="00AA3FAD" w:rsidRPr="00C44116">
        <w:rPr>
          <w:rFonts w:ascii="Times New Roman" w:hAnsi="Times New Roman"/>
          <w:sz w:val="24"/>
          <w:szCs w:val="24"/>
        </w:rPr>
        <w:t>th, it is contradicted by the (incorrect) assertion that the Polisario Front is negotiating with Morocco on the same issues which arise in this application.</w:t>
      </w:r>
      <w:r w:rsidR="00A35BD1" w:rsidRPr="00C44116">
        <w:rPr>
          <w:rStyle w:val="FootnoteReference"/>
          <w:rFonts w:ascii="Times New Roman" w:hAnsi="Times New Roman"/>
          <w:sz w:val="24"/>
          <w:szCs w:val="24"/>
        </w:rPr>
        <w:footnoteReference w:id="7"/>
      </w:r>
      <w:r w:rsidR="00AA3FAD" w:rsidRPr="00C44116">
        <w:rPr>
          <w:rFonts w:ascii="Times New Roman" w:hAnsi="Times New Roman"/>
          <w:sz w:val="24"/>
          <w:szCs w:val="24"/>
        </w:rPr>
        <w:t xml:space="preserv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characterisation of this case by the </w:t>
      </w:r>
      <w:r w:rsidR="002952DD" w:rsidRPr="00C44116">
        <w:rPr>
          <w:rFonts w:ascii="Times New Roman" w:hAnsi="Times New Roman"/>
          <w:sz w:val="24"/>
          <w:szCs w:val="24"/>
        </w:rPr>
        <w:t>respondents</w:t>
      </w:r>
      <w:r w:rsidRPr="00C44116">
        <w:rPr>
          <w:rFonts w:ascii="Times New Roman" w:hAnsi="Times New Roman"/>
          <w:sz w:val="24"/>
          <w:szCs w:val="24"/>
        </w:rPr>
        <w:t xml:space="preserve"> </w:t>
      </w:r>
      <w:r w:rsidR="00B806FF" w:rsidRPr="00C44116">
        <w:rPr>
          <w:rFonts w:ascii="Times New Roman" w:hAnsi="Times New Roman"/>
          <w:sz w:val="24"/>
          <w:szCs w:val="24"/>
        </w:rPr>
        <w:t xml:space="preserve">(that this case concerns the status of Western Sahara) </w:t>
      </w:r>
      <w:r w:rsidRPr="00C44116">
        <w:rPr>
          <w:rFonts w:ascii="Times New Roman" w:hAnsi="Times New Roman"/>
          <w:sz w:val="24"/>
          <w:szCs w:val="24"/>
        </w:rPr>
        <w:t>in para</w:t>
      </w:r>
      <w:r w:rsidR="002952DD" w:rsidRPr="00C44116">
        <w:rPr>
          <w:rFonts w:ascii="Times New Roman" w:hAnsi="Times New Roman"/>
          <w:sz w:val="24"/>
          <w:szCs w:val="24"/>
        </w:rPr>
        <w:t>graph</w:t>
      </w:r>
      <w:r w:rsidRPr="00C44116">
        <w:rPr>
          <w:rFonts w:ascii="Times New Roman" w:hAnsi="Times New Roman"/>
          <w:sz w:val="24"/>
          <w:szCs w:val="24"/>
        </w:rPr>
        <w:t xml:space="preserve"> 1 </w:t>
      </w:r>
      <w:r w:rsidR="002952DD" w:rsidRPr="00C44116">
        <w:rPr>
          <w:rFonts w:ascii="Times New Roman" w:hAnsi="Times New Roman"/>
          <w:sz w:val="24"/>
          <w:szCs w:val="24"/>
        </w:rPr>
        <w:t xml:space="preserve">of their heads of argument </w:t>
      </w:r>
      <w:r w:rsidRPr="00C44116">
        <w:rPr>
          <w:rFonts w:ascii="Times New Roman" w:hAnsi="Times New Roman"/>
          <w:sz w:val="24"/>
          <w:szCs w:val="24"/>
        </w:rPr>
        <w:t xml:space="preserve">is not something </w:t>
      </w:r>
      <w:r w:rsidR="002952DD" w:rsidRPr="00C44116">
        <w:rPr>
          <w:rFonts w:ascii="Times New Roman" w:hAnsi="Times New Roman"/>
          <w:sz w:val="24"/>
          <w:szCs w:val="24"/>
        </w:rPr>
        <w:t xml:space="preserve">with which </w:t>
      </w:r>
      <w:r w:rsidRPr="00C44116">
        <w:rPr>
          <w:rFonts w:ascii="Times New Roman" w:hAnsi="Times New Roman"/>
          <w:sz w:val="24"/>
          <w:szCs w:val="24"/>
        </w:rPr>
        <w:t>we agree.</w:t>
      </w:r>
      <w:r w:rsidR="00B806FF" w:rsidRPr="00C44116">
        <w:rPr>
          <w:rFonts w:ascii="Times New Roman" w:hAnsi="Times New Roman"/>
          <w:sz w:val="24"/>
          <w:szCs w:val="24"/>
        </w:rPr>
        <w:t xml:space="preserve">  This case concerns the ownership of minerals.</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 xml:space="preserve">The suggestion </w:t>
      </w:r>
      <w:r w:rsidR="002952DD" w:rsidRPr="00C44116">
        <w:rPr>
          <w:rFonts w:ascii="Times New Roman" w:hAnsi="Times New Roman"/>
          <w:sz w:val="24"/>
          <w:szCs w:val="24"/>
        </w:rPr>
        <w:t xml:space="preserve">in </w:t>
      </w:r>
      <w:r w:rsidRPr="00C44116">
        <w:rPr>
          <w:rFonts w:ascii="Times New Roman" w:hAnsi="Times New Roman"/>
          <w:sz w:val="24"/>
          <w:szCs w:val="24"/>
        </w:rPr>
        <w:t>para</w:t>
      </w:r>
      <w:r w:rsidR="002952DD" w:rsidRPr="00C44116">
        <w:rPr>
          <w:rFonts w:ascii="Times New Roman" w:hAnsi="Times New Roman"/>
          <w:sz w:val="24"/>
          <w:szCs w:val="24"/>
        </w:rPr>
        <w:t>graph</w:t>
      </w:r>
      <w:r w:rsidRPr="00C44116">
        <w:rPr>
          <w:rFonts w:ascii="Times New Roman" w:hAnsi="Times New Roman"/>
          <w:sz w:val="24"/>
          <w:szCs w:val="24"/>
        </w:rPr>
        <w:t xml:space="preserve"> 2 that no S</w:t>
      </w:r>
      <w:r w:rsidR="002952DD" w:rsidRPr="00C44116">
        <w:rPr>
          <w:rFonts w:ascii="Times New Roman" w:hAnsi="Times New Roman"/>
          <w:sz w:val="24"/>
          <w:szCs w:val="24"/>
        </w:rPr>
        <w:t xml:space="preserve">outh </w:t>
      </w:r>
      <w:r w:rsidRPr="00C44116">
        <w:rPr>
          <w:rFonts w:ascii="Times New Roman" w:hAnsi="Times New Roman"/>
          <w:sz w:val="24"/>
          <w:szCs w:val="24"/>
        </w:rPr>
        <w:t>A</w:t>
      </w:r>
      <w:r w:rsidR="002952DD" w:rsidRPr="00C44116">
        <w:rPr>
          <w:rFonts w:ascii="Times New Roman" w:hAnsi="Times New Roman"/>
          <w:sz w:val="24"/>
          <w:szCs w:val="24"/>
        </w:rPr>
        <w:t>frican court has ever determin</w:t>
      </w:r>
      <w:r w:rsidRPr="00C44116">
        <w:rPr>
          <w:rFonts w:ascii="Times New Roman" w:hAnsi="Times New Roman"/>
          <w:sz w:val="24"/>
          <w:szCs w:val="24"/>
        </w:rPr>
        <w:t xml:space="preserve">ed a claim of this type, is to be considered against the background that </w:t>
      </w:r>
      <w:r w:rsidR="00A346A3" w:rsidRPr="00C44116">
        <w:rPr>
          <w:rFonts w:ascii="Times New Roman" w:hAnsi="Times New Roman"/>
          <w:sz w:val="24"/>
          <w:szCs w:val="24"/>
        </w:rPr>
        <w:t xml:space="preserve">since the advent of the Constitution </w:t>
      </w:r>
      <w:r w:rsidRPr="00C44116">
        <w:rPr>
          <w:rFonts w:ascii="Times New Roman" w:hAnsi="Times New Roman"/>
          <w:sz w:val="24"/>
          <w:szCs w:val="24"/>
        </w:rPr>
        <w:t>no S</w:t>
      </w:r>
      <w:r w:rsidR="002952DD" w:rsidRPr="00C44116">
        <w:rPr>
          <w:rFonts w:ascii="Times New Roman" w:hAnsi="Times New Roman"/>
          <w:sz w:val="24"/>
          <w:szCs w:val="24"/>
        </w:rPr>
        <w:t xml:space="preserve">outh </w:t>
      </w:r>
      <w:r w:rsidRPr="00C44116">
        <w:rPr>
          <w:rFonts w:ascii="Times New Roman" w:hAnsi="Times New Roman"/>
          <w:sz w:val="24"/>
          <w:szCs w:val="24"/>
        </w:rPr>
        <w:t>A</w:t>
      </w:r>
      <w:r w:rsidR="002952DD" w:rsidRPr="00C44116">
        <w:rPr>
          <w:rFonts w:ascii="Times New Roman" w:hAnsi="Times New Roman"/>
          <w:sz w:val="24"/>
          <w:szCs w:val="24"/>
        </w:rPr>
        <w:t>frican</w:t>
      </w:r>
      <w:r w:rsidRPr="00C44116">
        <w:rPr>
          <w:rFonts w:ascii="Times New Roman" w:hAnsi="Times New Roman"/>
          <w:sz w:val="24"/>
          <w:szCs w:val="24"/>
        </w:rPr>
        <w:t xml:space="preserve"> court has exercised restraint and not determined the merits of any case</w:t>
      </w:r>
      <w:r w:rsidR="00A346A3" w:rsidRPr="00C44116">
        <w:rPr>
          <w:rFonts w:ascii="Times New Roman" w:hAnsi="Times New Roman"/>
          <w:sz w:val="24"/>
          <w:szCs w:val="24"/>
        </w:rPr>
        <w:t>.</w:t>
      </w:r>
      <w:r w:rsidRPr="00C44116">
        <w:rPr>
          <w:rFonts w:ascii="Times New Roman" w:hAnsi="Times New Roman"/>
          <w:sz w:val="24"/>
          <w:szCs w:val="24"/>
        </w:rPr>
        <w:t xml:space="preserve"> </w:t>
      </w:r>
      <w:r w:rsidR="00A346A3" w:rsidRPr="00C44116">
        <w:rPr>
          <w:rFonts w:ascii="Times New Roman" w:hAnsi="Times New Roman"/>
          <w:sz w:val="24"/>
          <w:szCs w:val="24"/>
        </w:rPr>
        <w:t xml:space="preserve">The ouster / restraint argument was regularly used by </w:t>
      </w:r>
      <w:r w:rsidRPr="00C44116">
        <w:rPr>
          <w:rFonts w:ascii="Times New Roman" w:hAnsi="Times New Roman"/>
          <w:sz w:val="24"/>
          <w:szCs w:val="24"/>
        </w:rPr>
        <w:t xml:space="preserve">the Apartheid state when </w:t>
      </w:r>
      <w:r w:rsidR="00A346A3" w:rsidRPr="00C44116">
        <w:rPr>
          <w:rFonts w:ascii="Times New Roman" w:hAnsi="Times New Roman"/>
          <w:sz w:val="24"/>
          <w:szCs w:val="24"/>
        </w:rPr>
        <w:t xml:space="preserve">legislative </w:t>
      </w:r>
      <w:r w:rsidRPr="00C44116">
        <w:rPr>
          <w:rFonts w:ascii="Times New Roman" w:hAnsi="Times New Roman"/>
          <w:sz w:val="24"/>
          <w:szCs w:val="24"/>
        </w:rPr>
        <w:t>ouster clauses were</w:t>
      </w:r>
      <w:r w:rsidR="00A346A3" w:rsidRPr="00C44116">
        <w:rPr>
          <w:rFonts w:ascii="Times New Roman" w:hAnsi="Times New Roman"/>
          <w:sz w:val="24"/>
          <w:szCs w:val="24"/>
        </w:rPr>
        <w:t xml:space="preserve"> aplenty</w:t>
      </w:r>
      <w:r w:rsidRPr="00C44116">
        <w:rPr>
          <w:rFonts w:ascii="Times New Roman" w:hAnsi="Times New Roman"/>
          <w:sz w:val="24"/>
          <w:szCs w:val="24"/>
        </w:rPr>
        <w:t>.</w:t>
      </w:r>
      <w:r w:rsidR="00A346A3" w:rsidRPr="00C44116">
        <w:rPr>
          <w:rStyle w:val="FootnoteReference"/>
          <w:rFonts w:ascii="Times New Roman" w:hAnsi="Times New Roman"/>
          <w:sz w:val="24"/>
          <w:szCs w:val="24"/>
        </w:rPr>
        <w:footnoteReference w:id="8"/>
      </w:r>
    </w:p>
    <w:p w:rsidR="00C85E9E" w:rsidRPr="00C44116" w:rsidRDefault="00C85E9E"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Furthermore, there is at least one notable foreign decision where a similar claim was determined, and in which the court did not defer judgment to a political body, that being the decision of the House of Lords in </w:t>
      </w:r>
      <w:r w:rsidRPr="00C44116">
        <w:rPr>
          <w:rFonts w:ascii="Times New Roman" w:hAnsi="Times New Roman"/>
          <w:i/>
          <w:sz w:val="24"/>
          <w:szCs w:val="24"/>
        </w:rPr>
        <w:t>Kuwait Airways</w:t>
      </w:r>
      <w:r w:rsidRPr="00C44116">
        <w:rPr>
          <w:rFonts w:ascii="Times New Roman" w:hAnsi="Times New Roman"/>
          <w:sz w:val="24"/>
          <w:szCs w:val="24"/>
        </w:rPr>
        <w:t>.</w:t>
      </w:r>
      <w:r w:rsidR="00A346A3" w:rsidRPr="00C44116">
        <w:rPr>
          <w:rStyle w:val="FootnoteReference"/>
          <w:rFonts w:ascii="Times New Roman" w:hAnsi="Times New Roman"/>
          <w:sz w:val="24"/>
          <w:szCs w:val="24"/>
        </w:rPr>
        <w:footnoteReference w:id="9"/>
      </w:r>
    </w:p>
    <w:p w:rsidR="00B61A9C" w:rsidRPr="00C44116" w:rsidRDefault="00B61A9C"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lang w:val="en-ZA"/>
        </w:rPr>
        <w:t>We emphasise the importance of section 34 of the Constitution (see paragraph 52 of our heads of argument).</w:t>
      </w:r>
      <w:r w:rsidR="006E161B" w:rsidRPr="00C44116">
        <w:rPr>
          <w:rStyle w:val="FootnoteReference"/>
          <w:rFonts w:ascii="Times New Roman" w:hAnsi="Times New Roman"/>
          <w:sz w:val="24"/>
          <w:szCs w:val="24"/>
          <w:lang w:val="en-ZA"/>
        </w:rPr>
        <w:footnoteReference w:id="10"/>
      </w:r>
      <w:r w:rsidRPr="00C44116">
        <w:rPr>
          <w:rFonts w:ascii="Times New Roman" w:hAnsi="Times New Roman"/>
          <w:sz w:val="24"/>
          <w:szCs w:val="24"/>
          <w:lang w:val="en-ZA"/>
        </w:rPr>
        <w:t xml:space="preserve"> Section 34, of course, is not limited to South African citizens or individuals, it applies to everyone.</w:t>
      </w:r>
    </w:p>
    <w:p w:rsidR="006E161B" w:rsidRPr="00C44116" w:rsidRDefault="006E161B" w:rsidP="006E161B">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lang w:val="en-ZA"/>
        </w:rPr>
        <w:t>N</w:t>
      </w:r>
      <w:r w:rsidR="00E83E09" w:rsidRPr="00C44116">
        <w:rPr>
          <w:rFonts w:ascii="Times New Roman" w:hAnsi="Times New Roman"/>
          <w:sz w:val="24"/>
          <w:szCs w:val="24"/>
          <w:lang w:val="en-ZA"/>
        </w:rPr>
        <w:t>o attempt has been made by any of the respondents to take this Court into their confidence, and explain what transactions have been concluded in relation to the cargo.</w:t>
      </w:r>
      <w:r w:rsidRPr="00C44116">
        <w:rPr>
          <w:rStyle w:val="FootnoteReference"/>
          <w:rFonts w:ascii="Times New Roman" w:hAnsi="Times New Roman"/>
          <w:sz w:val="24"/>
          <w:szCs w:val="24"/>
          <w:lang w:val="en-ZA"/>
        </w:rPr>
        <w:footnoteReference w:id="11"/>
      </w:r>
    </w:p>
    <w:p w:rsidR="006E161B" w:rsidRPr="00C44116" w:rsidRDefault="006E161B" w:rsidP="006E161B">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narrow circumstances in which a court would exercise judicial deference and decline to exercise jurisdiction it admittedly enjoys is also to be limited on the </w:t>
      </w:r>
      <w:r w:rsidRPr="00C44116">
        <w:rPr>
          <w:rFonts w:ascii="Times New Roman" w:hAnsi="Times New Roman"/>
          <w:sz w:val="24"/>
          <w:szCs w:val="24"/>
        </w:rPr>
        <w:lastRenderedPageBreak/>
        <w:t xml:space="preserve">facts of this matter.  To do so would be inconsistent with the public stance taken by the South African executive (it recognizes the first applicant as sovereign in the Western Sahara) in relation to the very issues relevant to this application, and would interfere with the conduct of the executive in the field of nation states.  </w:t>
      </w:r>
    </w:p>
    <w:p w:rsidR="00780456" w:rsidRPr="00C44116" w:rsidRDefault="00054FAB" w:rsidP="006E161B">
      <w:pPr>
        <w:spacing w:before="360" w:after="360" w:line="480" w:lineRule="auto"/>
        <w:jc w:val="both"/>
        <w:rPr>
          <w:rFonts w:ascii="Times New Roman" w:hAnsi="Times New Roman"/>
          <w:b/>
          <w:sz w:val="24"/>
          <w:szCs w:val="24"/>
        </w:rPr>
      </w:pPr>
      <w:r w:rsidRPr="00C44116">
        <w:rPr>
          <w:rFonts w:ascii="Times New Roman" w:hAnsi="Times New Roman"/>
          <w:b/>
          <w:sz w:val="24"/>
          <w:szCs w:val="24"/>
        </w:rPr>
        <w:t>ACT OF STATE</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act of state doctrine is not a statute. So what is it?</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For purposes of argument, it </w:t>
      </w:r>
      <w:r w:rsidR="006E161B" w:rsidRPr="00C44116">
        <w:rPr>
          <w:rFonts w:ascii="Times New Roman" w:hAnsi="Times New Roman"/>
          <w:sz w:val="24"/>
          <w:szCs w:val="24"/>
        </w:rPr>
        <w:t xml:space="preserve">is </w:t>
      </w:r>
      <w:r w:rsidRPr="00C44116">
        <w:rPr>
          <w:rFonts w:ascii="Times New Roman" w:hAnsi="Times New Roman"/>
          <w:sz w:val="24"/>
          <w:szCs w:val="24"/>
        </w:rPr>
        <w:t xml:space="preserve">accepted that the act of state doctrine </w:t>
      </w:r>
      <w:r w:rsidR="002952DD" w:rsidRPr="00C44116">
        <w:rPr>
          <w:rFonts w:ascii="Times New Roman" w:hAnsi="Times New Roman"/>
          <w:sz w:val="24"/>
          <w:szCs w:val="24"/>
        </w:rPr>
        <w:t xml:space="preserve">applied in the United Kingdom and the United States </w:t>
      </w:r>
      <w:r w:rsidRPr="00C44116">
        <w:rPr>
          <w:rFonts w:ascii="Times New Roman" w:hAnsi="Times New Roman"/>
          <w:sz w:val="24"/>
          <w:szCs w:val="24"/>
        </w:rPr>
        <w:t xml:space="preserve">is part of </w:t>
      </w:r>
      <w:r w:rsidR="006E161B" w:rsidRPr="00C44116">
        <w:rPr>
          <w:rFonts w:ascii="Times New Roman" w:hAnsi="Times New Roman"/>
          <w:sz w:val="24"/>
          <w:szCs w:val="24"/>
        </w:rPr>
        <w:t>the</w:t>
      </w:r>
      <w:r w:rsidRPr="00C44116">
        <w:rPr>
          <w:rFonts w:ascii="Times New Roman" w:hAnsi="Times New Roman"/>
          <w:sz w:val="24"/>
          <w:szCs w:val="24"/>
        </w:rPr>
        <w:t xml:space="preserve"> common law.</w:t>
      </w:r>
      <w:r w:rsidR="006E161B" w:rsidRPr="00C44116">
        <w:rPr>
          <w:rStyle w:val="FootnoteReference"/>
          <w:rFonts w:ascii="Times New Roman" w:hAnsi="Times New Roman"/>
          <w:sz w:val="24"/>
          <w:szCs w:val="24"/>
        </w:rPr>
        <w:footnoteReference w:id="12"/>
      </w:r>
    </w:p>
    <w:p w:rsidR="00780456" w:rsidRPr="00C44116" w:rsidRDefault="002952DD"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There is a v</w:t>
      </w:r>
      <w:r w:rsidR="00780456" w:rsidRPr="00C44116">
        <w:rPr>
          <w:rFonts w:ascii="Times New Roman" w:hAnsi="Times New Roman"/>
          <w:sz w:val="24"/>
          <w:szCs w:val="24"/>
        </w:rPr>
        <w:t>ery narrow</w:t>
      </w:r>
      <w:r w:rsidR="006E161B" w:rsidRPr="00C44116">
        <w:rPr>
          <w:rFonts w:ascii="Times New Roman" w:hAnsi="Times New Roman"/>
          <w:sz w:val="24"/>
          <w:szCs w:val="24"/>
        </w:rPr>
        <w:t>, if any,</w:t>
      </w:r>
      <w:r w:rsidR="00780456" w:rsidRPr="00C44116">
        <w:rPr>
          <w:rFonts w:ascii="Times New Roman" w:hAnsi="Times New Roman"/>
          <w:sz w:val="24"/>
          <w:szCs w:val="24"/>
        </w:rPr>
        <w:t xml:space="preserve"> category of cases where </w:t>
      </w:r>
      <w:r w:rsidRPr="00C44116">
        <w:rPr>
          <w:rFonts w:ascii="Times New Roman" w:hAnsi="Times New Roman"/>
          <w:sz w:val="24"/>
          <w:szCs w:val="24"/>
        </w:rPr>
        <w:t xml:space="preserve">the </w:t>
      </w:r>
      <w:r w:rsidR="00780456" w:rsidRPr="00C44116">
        <w:rPr>
          <w:rFonts w:ascii="Times New Roman" w:hAnsi="Times New Roman"/>
          <w:sz w:val="24"/>
          <w:szCs w:val="24"/>
        </w:rPr>
        <w:t xml:space="preserve">courts </w:t>
      </w:r>
      <w:r w:rsidR="006E161B" w:rsidRPr="00C44116">
        <w:rPr>
          <w:rFonts w:ascii="Times New Roman" w:hAnsi="Times New Roman"/>
          <w:sz w:val="24"/>
          <w:szCs w:val="24"/>
        </w:rPr>
        <w:t xml:space="preserve">can </w:t>
      </w:r>
      <w:r w:rsidR="00780456" w:rsidRPr="00C44116">
        <w:rPr>
          <w:rFonts w:ascii="Times New Roman" w:hAnsi="Times New Roman"/>
          <w:sz w:val="24"/>
          <w:szCs w:val="24"/>
        </w:rPr>
        <w:t>at early stage</w:t>
      </w:r>
      <w:r w:rsidRPr="00C44116">
        <w:rPr>
          <w:rFonts w:ascii="Times New Roman" w:hAnsi="Times New Roman"/>
          <w:sz w:val="24"/>
          <w:szCs w:val="24"/>
        </w:rPr>
        <w:t xml:space="preserve"> of proceedings </w:t>
      </w:r>
      <w:r w:rsidR="006E161B" w:rsidRPr="00C44116">
        <w:rPr>
          <w:rFonts w:ascii="Times New Roman" w:hAnsi="Times New Roman"/>
          <w:sz w:val="24"/>
          <w:szCs w:val="24"/>
        </w:rPr>
        <w:t xml:space="preserve">hold </w:t>
      </w:r>
      <w:r w:rsidRPr="00C44116">
        <w:rPr>
          <w:rFonts w:ascii="Times New Roman" w:hAnsi="Times New Roman"/>
          <w:sz w:val="24"/>
          <w:szCs w:val="24"/>
        </w:rPr>
        <w:t>that they</w:t>
      </w:r>
      <w:r w:rsidR="00780456" w:rsidRPr="00C44116">
        <w:rPr>
          <w:rFonts w:ascii="Times New Roman" w:hAnsi="Times New Roman"/>
          <w:sz w:val="24"/>
          <w:szCs w:val="24"/>
        </w:rPr>
        <w:t xml:space="preserve"> can</w:t>
      </w:r>
      <w:r w:rsidRPr="00C44116">
        <w:rPr>
          <w:rFonts w:ascii="Times New Roman" w:hAnsi="Times New Roman"/>
          <w:sz w:val="24"/>
          <w:szCs w:val="24"/>
        </w:rPr>
        <w:t>not</w:t>
      </w:r>
      <w:r w:rsidR="00780456" w:rsidRPr="00C44116">
        <w:rPr>
          <w:rFonts w:ascii="Times New Roman" w:hAnsi="Times New Roman"/>
          <w:sz w:val="24"/>
          <w:szCs w:val="24"/>
        </w:rPr>
        <w:t xml:space="preserve"> decide </w:t>
      </w:r>
      <w:r w:rsidRPr="00C44116">
        <w:rPr>
          <w:rFonts w:ascii="Times New Roman" w:hAnsi="Times New Roman"/>
          <w:sz w:val="24"/>
          <w:szCs w:val="24"/>
        </w:rPr>
        <w:t xml:space="preserve">the matter </w:t>
      </w:r>
      <w:r w:rsidR="00780456" w:rsidRPr="00C44116">
        <w:rPr>
          <w:rFonts w:ascii="Times New Roman" w:hAnsi="Times New Roman"/>
          <w:sz w:val="24"/>
          <w:szCs w:val="24"/>
        </w:rPr>
        <w:t>at all.</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What </w:t>
      </w:r>
      <w:r w:rsidR="006E161B" w:rsidRPr="00C44116">
        <w:rPr>
          <w:rFonts w:ascii="Times New Roman" w:hAnsi="Times New Roman"/>
          <w:sz w:val="24"/>
          <w:szCs w:val="24"/>
        </w:rPr>
        <w:t>the doctrine may well be</w:t>
      </w:r>
      <w:r w:rsidR="00BE6D71" w:rsidRPr="00C44116">
        <w:rPr>
          <w:rFonts w:ascii="Times New Roman" w:hAnsi="Times New Roman"/>
          <w:sz w:val="24"/>
          <w:szCs w:val="24"/>
        </w:rPr>
        <w:t>,</w:t>
      </w:r>
      <w:r w:rsidRPr="00C44116">
        <w:rPr>
          <w:rFonts w:ascii="Times New Roman" w:hAnsi="Times New Roman"/>
          <w:sz w:val="24"/>
          <w:szCs w:val="24"/>
        </w:rPr>
        <w:t xml:space="preserve"> as a matter of principle, </w:t>
      </w:r>
      <w:r w:rsidR="00BE6D71" w:rsidRPr="00C44116">
        <w:rPr>
          <w:rFonts w:ascii="Times New Roman" w:hAnsi="Times New Roman"/>
          <w:sz w:val="24"/>
          <w:szCs w:val="24"/>
        </w:rPr>
        <w:t xml:space="preserve">is </w:t>
      </w:r>
      <w:r w:rsidRPr="00C44116">
        <w:rPr>
          <w:rFonts w:ascii="Times New Roman" w:hAnsi="Times New Roman"/>
          <w:sz w:val="24"/>
          <w:szCs w:val="24"/>
        </w:rPr>
        <w:t xml:space="preserve">akin to </w:t>
      </w:r>
      <w:r w:rsidR="00BE6D71" w:rsidRPr="00C44116">
        <w:rPr>
          <w:rFonts w:ascii="Times New Roman" w:hAnsi="Times New Roman"/>
          <w:sz w:val="24"/>
          <w:szCs w:val="24"/>
        </w:rPr>
        <w:t xml:space="preserve">the </w:t>
      </w:r>
      <w:r w:rsidRPr="00C44116">
        <w:rPr>
          <w:rFonts w:ascii="Times New Roman" w:hAnsi="Times New Roman"/>
          <w:sz w:val="24"/>
          <w:szCs w:val="24"/>
        </w:rPr>
        <w:t xml:space="preserve">issues </w:t>
      </w:r>
      <w:r w:rsidR="00BE6D71" w:rsidRPr="00C44116">
        <w:rPr>
          <w:rFonts w:ascii="Times New Roman" w:hAnsi="Times New Roman"/>
          <w:sz w:val="24"/>
          <w:szCs w:val="24"/>
        </w:rPr>
        <w:t xml:space="preserve">which section </w:t>
      </w:r>
      <w:r w:rsidRPr="00C44116">
        <w:rPr>
          <w:rFonts w:ascii="Times New Roman" w:hAnsi="Times New Roman"/>
          <w:sz w:val="24"/>
          <w:szCs w:val="24"/>
        </w:rPr>
        <w:t xml:space="preserve">21(1)(c) </w:t>
      </w:r>
      <w:r w:rsidR="00BE6D71" w:rsidRPr="00C44116">
        <w:rPr>
          <w:rFonts w:ascii="Times New Roman" w:hAnsi="Times New Roman"/>
          <w:sz w:val="24"/>
          <w:szCs w:val="24"/>
        </w:rPr>
        <w:t xml:space="preserve">of the Superior Courts Act 10 of 2013 </w:t>
      </w:r>
      <w:r w:rsidRPr="00C44116">
        <w:rPr>
          <w:rFonts w:ascii="Times New Roman" w:hAnsi="Times New Roman"/>
          <w:sz w:val="24"/>
          <w:szCs w:val="24"/>
        </w:rPr>
        <w:t>contemplates.</w:t>
      </w:r>
      <w:r w:rsidR="00BC5CC3" w:rsidRPr="00C44116">
        <w:rPr>
          <w:rStyle w:val="FootnoteReference"/>
          <w:rFonts w:ascii="Times New Roman" w:hAnsi="Times New Roman"/>
          <w:sz w:val="24"/>
          <w:szCs w:val="24"/>
        </w:rPr>
        <w:footnoteReference w:id="13"/>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Thus a court may decide not to hear a matter on </w:t>
      </w:r>
      <w:r w:rsidR="00BE6D71" w:rsidRPr="00C44116">
        <w:rPr>
          <w:rFonts w:ascii="Times New Roman" w:hAnsi="Times New Roman"/>
          <w:sz w:val="24"/>
          <w:szCs w:val="24"/>
        </w:rPr>
        <w:t xml:space="preserve">the </w:t>
      </w:r>
      <w:r w:rsidRPr="00C44116">
        <w:rPr>
          <w:rFonts w:ascii="Times New Roman" w:hAnsi="Times New Roman"/>
          <w:sz w:val="24"/>
          <w:szCs w:val="24"/>
        </w:rPr>
        <w:t xml:space="preserve">basis of </w:t>
      </w:r>
      <w:r w:rsidR="00BE6D71" w:rsidRPr="00C44116">
        <w:rPr>
          <w:rFonts w:ascii="Times New Roman" w:hAnsi="Times New Roman"/>
          <w:sz w:val="24"/>
          <w:szCs w:val="24"/>
        </w:rPr>
        <w:t xml:space="preserve">the </w:t>
      </w:r>
      <w:r w:rsidRPr="00C44116">
        <w:rPr>
          <w:rFonts w:ascii="Times New Roman" w:hAnsi="Times New Roman"/>
          <w:sz w:val="24"/>
          <w:szCs w:val="24"/>
        </w:rPr>
        <w:t>so-called mootness doctrine.</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 xml:space="preserve">The substance of </w:t>
      </w:r>
      <w:r w:rsidR="00BE6D71" w:rsidRPr="00C44116">
        <w:rPr>
          <w:rFonts w:ascii="Times New Roman" w:hAnsi="Times New Roman"/>
          <w:sz w:val="24"/>
          <w:szCs w:val="24"/>
        </w:rPr>
        <w:t xml:space="preserve">section </w:t>
      </w:r>
      <w:r w:rsidRPr="00C44116">
        <w:rPr>
          <w:rFonts w:ascii="Times New Roman" w:hAnsi="Times New Roman"/>
          <w:sz w:val="24"/>
          <w:szCs w:val="24"/>
        </w:rPr>
        <w:t xml:space="preserve">21(1)(c) </w:t>
      </w:r>
      <w:r w:rsidR="00BE6D71" w:rsidRPr="00C44116">
        <w:rPr>
          <w:rFonts w:ascii="Times New Roman" w:hAnsi="Times New Roman"/>
          <w:sz w:val="24"/>
          <w:szCs w:val="24"/>
        </w:rPr>
        <w:t xml:space="preserve">of the Superior Courts Act </w:t>
      </w:r>
      <w:r w:rsidRPr="00C44116">
        <w:rPr>
          <w:rFonts w:ascii="Times New Roman" w:hAnsi="Times New Roman"/>
          <w:sz w:val="24"/>
          <w:szCs w:val="24"/>
        </w:rPr>
        <w:t xml:space="preserve">and the types of considerations at stake, at its root, are that the </w:t>
      </w:r>
      <w:r w:rsidR="00BC5CC3" w:rsidRPr="00C44116">
        <w:rPr>
          <w:rFonts w:ascii="Times New Roman" w:hAnsi="Times New Roman"/>
          <w:sz w:val="24"/>
          <w:szCs w:val="24"/>
        </w:rPr>
        <w:t xml:space="preserve">Court </w:t>
      </w:r>
      <w:r w:rsidRPr="00C44116">
        <w:rPr>
          <w:rFonts w:ascii="Times New Roman" w:hAnsi="Times New Roman"/>
          <w:sz w:val="24"/>
          <w:szCs w:val="24"/>
        </w:rPr>
        <w:t xml:space="preserve">decision will have no </w:t>
      </w:r>
      <w:r w:rsidRPr="00C44116">
        <w:rPr>
          <w:rFonts w:ascii="Times New Roman" w:hAnsi="Times New Roman"/>
          <w:b/>
          <w:sz w:val="24"/>
          <w:szCs w:val="24"/>
        </w:rPr>
        <w:t>practical effect</w:t>
      </w:r>
      <w:r w:rsidRPr="00C44116">
        <w:rPr>
          <w:rFonts w:ascii="Times New Roman" w:hAnsi="Times New Roman"/>
          <w:sz w:val="24"/>
          <w:szCs w:val="24"/>
        </w:rPr>
        <w:t>.</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respondents </w:t>
      </w:r>
      <w:r w:rsidR="00BE6D71" w:rsidRPr="00C44116">
        <w:rPr>
          <w:rFonts w:ascii="Times New Roman" w:hAnsi="Times New Roman"/>
          <w:sz w:val="24"/>
          <w:szCs w:val="24"/>
        </w:rPr>
        <w:t xml:space="preserve">in this matter </w:t>
      </w:r>
      <w:r w:rsidRPr="00C44116">
        <w:rPr>
          <w:rFonts w:ascii="Times New Roman" w:hAnsi="Times New Roman"/>
          <w:sz w:val="24"/>
          <w:szCs w:val="24"/>
        </w:rPr>
        <w:t>do not suggest that the confirmation of the rule will have no practical effect.</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Neither do they suggest, as they could</w:t>
      </w:r>
      <w:r w:rsidR="00BE6D71" w:rsidRPr="00C44116">
        <w:rPr>
          <w:rFonts w:ascii="Times New Roman" w:hAnsi="Times New Roman"/>
          <w:sz w:val="24"/>
          <w:szCs w:val="24"/>
        </w:rPr>
        <w:t xml:space="preserve"> </w:t>
      </w:r>
      <w:r w:rsidRPr="00C44116">
        <w:rPr>
          <w:rFonts w:ascii="Times New Roman" w:hAnsi="Times New Roman"/>
          <w:sz w:val="24"/>
          <w:szCs w:val="24"/>
        </w:rPr>
        <w:t>n</w:t>
      </w:r>
      <w:r w:rsidR="00BE6D71" w:rsidRPr="00C44116">
        <w:rPr>
          <w:rFonts w:ascii="Times New Roman" w:hAnsi="Times New Roman"/>
          <w:sz w:val="24"/>
          <w:szCs w:val="24"/>
        </w:rPr>
        <w:t>o</w:t>
      </w:r>
      <w:r w:rsidRPr="00C44116">
        <w:rPr>
          <w:rFonts w:ascii="Times New Roman" w:hAnsi="Times New Roman"/>
          <w:sz w:val="24"/>
          <w:szCs w:val="24"/>
        </w:rPr>
        <w:t>t possibly, that at the trial the vindicatory claim will have no practical effect were it to be decided in favour of the applicants.</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other possible foundation, other than practical effect, and allied to the practical effect notion, is this </w:t>
      </w:r>
      <w:r w:rsidR="00BE6D71" w:rsidRPr="00C44116">
        <w:rPr>
          <w:rFonts w:ascii="Times New Roman" w:hAnsi="Times New Roman"/>
          <w:sz w:val="24"/>
          <w:szCs w:val="24"/>
        </w:rPr>
        <w:t>C</w:t>
      </w:r>
      <w:r w:rsidRPr="00C44116">
        <w:rPr>
          <w:rFonts w:ascii="Times New Roman" w:hAnsi="Times New Roman"/>
          <w:sz w:val="24"/>
          <w:szCs w:val="24"/>
        </w:rPr>
        <w:t>ourt acting as a court established under s</w:t>
      </w:r>
      <w:r w:rsidR="00BE6D71" w:rsidRPr="00C44116">
        <w:rPr>
          <w:rFonts w:ascii="Times New Roman" w:hAnsi="Times New Roman"/>
          <w:sz w:val="24"/>
          <w:szCs w:val="24"/>
        </w:rPr>
        <w:t>ection</w:t>
      </w:r>
      <w:r w:rsidRPr="00C44116">
        <w:rPr>
          <w:rFonts w:ascii="Times New Roman" w:hAnsi="Times New Roman"/>
          <w:sz w:val="24"/>
          <w:szCs w:val="24"/>
        </w:rPr>
        <w:t xml:space="preserve"> 165 of the </w:t>
      </w:r>
      <w:r w:rsidR="00BC5CC3" w:rsidRPr="00C44116">
        <w:rPr>
          <w:rFonts w:ascii="Times New Roman" w:hAnsi="Times New Roman"/>
          <w:sz w:val="24"/>
          <w:szCs w:val="24"/>
        </w:rPr>
        <w:t>C</w:t>
      </w:r>
      <w:r w:rsidRPr="00C44116">
        <w:rPr>
          <w:rFonts w:ascii="Times New Roman" w:hAnsi="Times New Roman"/>
          <w:sz w:val="24"/>
          <w:szCs w:val="24"/>
        </w:rPr>
        <w:t>onstitution would be trenching impermissibly on a foreign state’s conduct.</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foundation for that proposition is that this </w:t>
      </w:r>
      <w:r w:rsidR="00BE6D71" w:rsidRPr="00C44116">
        <w:rPr>
          <w:rFonts w:ascii="Times New Roman" w:hAnsi="Times New Roman"/>
          <w:sz w:val="24"/>
          <w:szCs w:val="24"/>
        </w:rPr>
        <w:t>Court, as a part</w:t>
      </w:r>
      <w:r w:rsidRPr="00C44116">
        <w:rPr>
          <w:rFonts w:ascii="Times New Roman" w:hAnsi="Times New Roman"/>
          <w:sz w:val="24"/>
          <w:szCs w:val="24"/>
        </w:rPr>
        <w:t xml:space="preserve"> of the S</w:t>
      </w:r>
      <w:r w:rsidR="00BE6D71" w:rsidRPr="00C44116">
        <w:rPr>
          <w:rFonts w:ascii="Times New Roman" w:hAnsi="Times New Roman"/>
          <w:sz w:val="24"/>
          <w:szCs w:val="24"/>
        </w:rPr>
        <w:t xml:space="preserve">outh </w:t>
      </w:r>
      <w:r w:rsidRPr="00C44116">
        <w:rPr>
          <w:rFonts w:ascii="Times New Roman" w:hAnsi="Times New Roman"/>
          <w:sz w:val="24"/>
          <w:szCs w:val="24"/>
        </w:rPr>
        <w:t>A</w:t>
      </w:r>
      <w:r w:rsidR="00BE6D71" w:rsidRPr="00C44116">
        <w:rPr>
          <w:rFonts w:ascii="Times New Roman" w:hAnsi="Times New Roman"/>
          <w:sz w:val="24"/>
          <w:szCs w:val="24"/>
        </w:rPr>
        <w:t>frican</w:t>
      </w:r>
      <w:r w:rsidRPr="00C44116">
        <w:rPr>
          <w:rFonts w:ascii="Times New Roman" w:hAnsi="Times New Roman"/>
          <w:sz w:val="24"/>
          <w:szCs w:val="24"/>
        </w:rPr>
        <w:t xml:space="preserve"> constitutional machinery, ought not to impugn the territorial sovereignty of another state.</w:t>
      </w:r>
    </w:p>
    <w:p w:rsidR="00BE6D71" w:rsidRPr="00C44116" w:rsidRDefault="00BE6D71" w:rsidP="00BE6D71">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act of state cannot be part of the court’s “</w:t>
      </w:r>
      <w:r w:rsidRPr="00C44116">
        <w:rPr>
          <w:rFonts w:ascii="Times New Roman" w:hAnsi="Times New Roman"/>
          <w:i/>
          <w:sz w:val="24"/>
          <w:szCs w:val="24"/>
        </w:rPr>
        <w:t>inherent jurisdiction to regulate process</w:t>
      </w:r>
      <w:r w:rsidRPr="00C44116">
        <w:rPr>
          <w:rFonts w:ascii="Times New Roman" w:hAnsi="Times New Roman"/>
          <w:sz w:val="24"/>
          <w:szCs w:val="24"/>
        </w:rPr>
        <w:t xml:space="preserve">”, as stated by Joffe J in </w:t>
      </w:r>
      <w:r w:rsidRPr="00C44116">
        <w:rPr>
          <w:rFonts w:ascii="Times New Roman" w:hAnsi="Times New Roman"/>
          <w:i/>
          <w:sz w:val="24"/>
          <w:szCs w:val="24"/>
        </w:rPr>
        <w:t>Swissborough</w:t>
      </w:r>
      <w:r w:rsidRPr="00C44116">
        <w:rPr>
          <w:rFonts w:ascii="Times New Roman" w:hAnsi="Times New Roman"/>
          <w:sz w:val="24"/>
          <w:szCs w:val="24"/>
        </w:rPr>
        <w:t>.</w:t>
      </w:r>
      <w:r w:rsidRPr="00C44116">
        <w:rPr>
          <w:rStyle w:val="FootnoteReference"/>
          <w:rFonts w:ascii="Times New Roman" w:hAnsi="Times New Roman"/>
          <w:sz w:val="24"/>
          <w:szCs w:val="24"/>
        </w:rPr>
        <w:footnoteReference w:id="14"/>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jurisdiction to regulate its own process is a power under s</w:t>
      </w:r>
      <w:r w:rsidR="00BE6D71" w:rsidRPr="00C44116">
        <w:rPr>
          <w:rFonts w:ascii="Times New Roman" w:hAnsi="Times New Roman"/>
          <w:sz w:val="24"/>
          <w:szCs w:val="24"/>
        </w:rPr>
        <w:t>ection</w:t>
      </w:r>
      <w:r w:rsidRPr="00C44116">
        <w:rPr>
          <w:rFonts w:ascii="Times New Roman" w:hAnsi="Times New Roman"/>
          <w:sz w:val="24"/>
          <w:szCs w:val="24"/>
        </w:rPr>
        <w:t xml:space="preserve"> 173 of Constitution.</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S</w:t>
      </w:r>
      <w:r w:rsidR="00BE6D71" w:rsidRPr="00C44116">
        <w:rPr>
          <w:rFonts w:ascii="Times New Roman" w:hAnsi="Times New Roman"/>
          <w:sz w:val="24"/>
          <w:szCs w:val="24"/>
        </w:rPr>
        <w:t>ection</w:t>
      </w:r>
      <w:r w:rsidRPr="00C44116">
        <w:rPr>
          <w:rFonts w:ascii="Times New Roman" w:hAnsi="Times New Roman"/>
          <w:sz w:val="24"/>
          <w:szCs w:val="24"/>
        </w:rPr>
        <w:t xml:space="preserve"> 173 does give this Court the power to develop the common law taking into account </w:t>
      </w:r>
      <w:r w:rsidRPr="00C44116">
        <w:rPr>
          <w:rFonts w:ascii="Times New Roman" w:hAnsi="Times New Roman"/>
          <w:sz w:val="24"/>
          <w:szCs w:val="24"/>
          <w:u w:val="single"/>
        </w:rPr>
        <w:t>the interests of justice</w:t>
      </w:r>
      <w:r w:rsidRPr="00C44116">
        <w:rPr>
          <w:rFonts w:ascii="Times New Roman" w:hAnsi="Times New Roman"/>
          <w:sz w:val="24"/>
          <w:szCs w:val="24"/>
        </w:rPr>
        <w:t>.</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real question, in developing the common law</w:t>
      </w:r>
      <w:r w:rsidR="00BC5CC3" w:rsidRPr="00C44116">
        <w:rPr>
          <w:rFonts w:ascii="Times New Roman" w:hAnsi="Times New Roman"/>
          <w:sz w:val="24"/>
          <w:szCs w:val="24"/>
        </w:rPr>
        <w:t xml:space="preserve"> (this would be the first Court in South in South Africa to apply the doctrine)</w:t>
      </w:r>
      <w:r w:rsidRPr="00C44116">
        <w:rPr>
          <w:rFonts w:ascii="Times New Roman" w:hAnsi="Times New Roman"/>
          <w:sz w:val="24"/>
          <w:szCs w:val="24"/>
        </w:rPr>
        <w:t xml:space="preserve">, including the act of state doctrine, is </w:t>
      </w:r>
      <w:r w:rsidR="00BE6D71" w:rsidRPr="00C44116">
        <w:rPr>
          <w:rFonts w:ascii="Times New Roman" w:hAnsi="Times New Roman"/>
          <w:sz w:val="24"/>
          <w:szCs w:val="24"/>
        </w:rPr>
        <w:t xml:space="preserve">what is </w:t>
      </w:r>
      <w:r w:rsidRPr="00C44116">
        <w:rPr>
          <w:rFonts w:ascii="Times New Roman" w:hAnsi="Times New Roman"/>
          <w:sz w:val="24"/>
          <w:szCs w:val="24"/>
        </w:rPr>
        <w:t>in the interests of justice?</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Can it be in the interests of justice to refuse an interdict pending a vindicatory claim in circumstances where the applicants aver, and it is not disputed, that they are the owners, such as it is, of the property in question.</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interests of justice can hardly be suggested to be served were this </w:t>
      </w:r>
      <w:r w:rsidR="00BC5CC3" w:rsidRPr="00C44116">
        <w:rPr>
          <w:rFonts w:ascii="Times New Roman" w:hAnsi="Times New Roman"/>
          <w:sz w:val="24"/>
          <w:szCs w:val="24"/>
        </w:rPr>
        <w:t>C</w:t>
      </w:r>
      <w:r w:rsidRPr="00C44116">
        <w:rPr>
          <w:rFonts w:ascii="Times New Roman" w:hAnsi="Times New Roman"/>
          <w:sz w:val="24"/>
          <w:szCs w:val="24"/>
        </w:rPr>
        <w:t>ourt to decline to hear a vindicatory application at the instance of a party that S</w:t>
      </w:r>
      <w:r w:rsidR="00BE6D71" w:rsidRPr="00C44116">
        <w:rPr>
          <w:rFonts w:ascii="Times New Roman" w:hAnsi="Times New Roman"/>
          <w:sz w:val="24"/>
          <w:szCs w:val="24"/>
        </w:rPr>
        <w:t xml:space="preserve">outh </w:t>
      </w:r>
      <w:r w:rsidRPr="00C44116">
        <w:rPr>
          <w:rFonts w:ascii="Times New Roman" w:hAnsi="Times New Roman"/>
          <w:sz w:val="24"/>
          <w:szCs w:val="24"/>
        </w:rPr>
        <w:t>A</w:t>
      </w:r>
      <w:r w:rsidR="00BE6D71" w:rsidRPr="00C44116">
        <w:rPr>
          <w:rFonts w:ascii="Times New Roman" w:hAnsi="Times New Roman"/>
          <w:sz w:val="24"/>
          <w:szCs w:val="24"/>
        </w:rPr>
        <w:t>frica</w:t>
      </w:r>
      <w:r w:rsidRPr="00C44116">
        <w:rPr>
          <w:rFonts w:ascii="Times New Roman" w:hAnsi="Times New Roman"/>
          <w:sz w:val="24"/>
          <w:szCs w:val="24"/>
        </w:rPr>
        <w:t xml:space="preserve"> itself recognises as a sovereign independent state.</w:t>
      </w:r>
      <w:r w:rsidR="00BE6D71" w:rsidRPr="00C44116">
        <w:rPr>
          <w:rStyle w:val="FootnoteReference"/>
          <w:rFonts w:ascii="Times New Roman" w:hAnsi="Times New Roman"/>
          <w:sz w:val="24"/>
          <w:szCs w:val="24"/>
        </w:rPr>
        <w:footnoteReference w:id="15"/>
      </w:r>
      <w:r w:rsidRPr="00C44116">
        <w:rPr>
          <w:rFonts w:ascii="Times New Roman" w:hAnsi="Times New Roman"/>
          <w:sz w:val="24"/>
          <w:szCs w:val="24"/>
        </w:rPr>
        <w:t xml:space="preserv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By applying act of state doctrine </w:t>
      </w:r>
      <w:r w:rsidRPr="00C44116">
        <w:rPr>
          <w:rFonts w:ascii="Times New Roman" w:hAnsi="Times New Roman"/>
          <w:i/>
          <w:sz w:val="24"/>
          <w:szCs w:val="24"/>
        </w:rPr>
        <w:t>in casu</w:t>
      </w:r>
      <w:r w:rsidR="00BE6D71" w:rsidRPr="00C44116">
        <w:rPr>
          <w:rFonts w:ascii="Times New Roman" w:hAnsi="Times New Roman"/>
          <w:sz w:val="24"/>
          <w:szCs w:val="24"/>
        </w:rPr>
        <w:t>, this</w:t>
      </w:r>
      <w:r w:rsidRPr="00C44116">
        <w:rPr>
          <w:rFonts w:ascii="Times New Roman" w:hAnsi="Times New Roman"/>
          <w:sz w:val="24"/>
          <w:szCs w:val="24"/>
        </w:rPr>
        <w:t xml:space="preserve"> </w:t>
      </w:r>
      <w:r w:rsidR="00BE6D71" w:rsidRPr="00C44116">
        <w:rPr>
          <w:rFonts w:ascii="Times New Roman" w:hAnsi="Times New Roman"/>
          <w:sz w:val="24"/>
          <w:szCs w:val="24"/>
        </w:rPr>
        <w:t>C</w:t>
      </w:r>
      <w:r w:rsidRPr="00C44116">
        <w:rPr>
          <w:rFonts w:ascii="Times New Roman" w:hAnsi="Times New Roman"/>
          <w:sz w:val="24"/>
          <w:szCs w:val="24"/>
        </w:rPr>
        <w:t>ourt would effectively be acting contrary to the interests of justice inasmuch as</w:t>
      </w:r>
      <w:r w:rsidR="00BE6D71" w:rsidRPr="00C44116">
        <w:rPr>
          <w:rFonts w:ascii="Times New Roman" w:hAnsi="Times New Roman"/>
          <w:sz w:val="24"/>
          <w:szCs w:val="24"/>
        </w:rPr>
        <w:t xml:space="preserve"> this</w:t>
      </w:r>
      <w:r w:rsidRPr="00C44116">
        <w:rPr>
          <w:rFonts w:ascii="Times New Roman" w:hAnsi="Times New Roman"/>
          <w:sz w:val="24"/>
          <w:szCs w:val="24"/>
        </w:rPr>
        <w:t xml:space="preserve"> </w:t>
      </w:r>
      <w:r w:rsidR="00BE6D71" w:rsidRPr="00C44116">
        <w:rPr>
          <w:rFonts w:ascii="Times New Roman" w:hAnsi="Times New Roman"/>
          <w:sz w:val="24"/>
          <w:szCs w:val="24"/>
        </w:rPr>
        <w:t>C</w:t>
      </w:r>
      <w:r w:rsidRPr="00C44116">
        <w:rPr>
          <w:rFonts w:ascii="Times New Roman" w:hAnsi="Times New Roman"/>
          <w:sz w:val="24"/>
          <w:szCs w:val="24"/>
        </w:rPr>
        <w:t xml:space="preserve">ourt would be failing to respect the independent sovereignty of </w:t>
      </w:r>
      <w:r w:rsidR="00BE6D71" w:rsidRPr="00C44116">
        <w:rPr>
          <w:rFonts w:ascii="Times New Roman" w:hAnsi="Times New Roman"/>
          <w:sz w:val="24"/>
          <w:szCs w:val="24"/>
        </w:rPr>
        <w:t xml:space="preserve">the </w:t>
      </w:r>
      <w:r w:rsidRPr="00C44116">
        <w:rPr>
          <w:rFonts w:ascii="Times New Roman" w:hAnsi="Times New Roman"/>
          <w:sz w:val="24"/>
          <w:szCs w:val="24"/>
        </w:rPr>
        <w:t>SADR</w:t>
      </w:r>
      <w:r w:rsidR="00BC5CC3" w:rsidRPr="00C44116">
        <w:rPr>
          <w:rFonts w:ascii="Times New Roman" w:hAnsi="Times New Roman"/>
          <w:sz w:val="24"/>
          <w:szCs w:val="24"/>
        </w:rPr>
        <w:t>,</w:t>
      </w:r>
      <w:r w:rsidRPr="00C44116">
        <w:rPr>
          <w:rFonts w:ascii="Times New Roman" w:hAnsi="Times New Roman"/>
          <w:sz w:val="24"/>
          <w:szCs w:val="24"/>
        </w:rPr>
        <w:t xml:space="preserve"> which is recognised by S</w:t>
      </w:r>
      <w:r w:rsidR="00BE6D71" w:rsidRPr="00C44116">
        <w:rPr>
          <w:rFonts w:ascii="Times New Roman" w:hAnsi="Times New Roman"/>
          <w:sz w:val="24"/>
          <w:szCs w:val="24"/>
        </w:rPr>
        <w:t xml:space="preserve">outh </w:t>
      </w:r>
      <w:r w:rsidRPr="00C44116">
        <w:rPr>
          <w:rFonts w:ascii="Times New Roman" w:hAnsi="Times New Roman"/>
          <w:sz w:val="24"/>
          <w:szCs w:val="24"/>
        </w:rPr>
        <w:t>A</w:t>
      </w:r>
      <w:r w:rsidR="00BE6D71" w:rsidRPr="00C44116">
        <w:rPr>
          <w:rFonts w:ascii="Times New Roman" w:hAnsi="Times New Roman"/>
          <w:sz w:val="24"/>
          <w:szCs w:val="24"/>
        </w:rPr>
        <w:t>frica</w:t>
      </w:r>
      <w:r w:rsidRPr="00C44116">
        <w:rPr>
          <w:rFonts w:ascii="Times New Roman" w:hAnsi="Times New Roman"/>
          <w:sz w:val="24"/>
          <w:szCs w:val="24"/>
        </w:rPr>
        <w:t>.</w:t>
      </w:r>
    </w:p>
    <w:p w:rsidR="00F27917" w:rsidRPr="00C44116" w:rsidRDefault="00F27917" w:rsidP="00F27917">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act of state doctrine is used by the respondents not against a private person or entity claiming against a state, but to non-suit a state recognised by South Africa, who seeks relief against various private individuals and corporate entities.</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That being so, this Court is required to consider the nature of civil litigation in South Africa’s adversarial system.</w:t>
      </w:r>
      <w:r w:rsidR="00BE6D71" w:rsidRPr="00C44116">
        <w:rPr>
          <w:rStyle w:val="FootnoteReference"/>
          <w:rFonts w:ascii="Times New Roman" w:hAnsi="Times New Roman"/>
          <w:sz w:val="24"/>
          <w:szCs w:val="24"/>
        </w:rPr>
        <w:footnoteReference w:id="16"/>
      </w:r>
      <w:r w:rsidRPr="00C44116">
        <w:rPr>
          <w:rFonts w:ascii="Times New Roman" w:hAnsi="Times New Roman"/>
          <w:sz w:val="24"/>
          <w:szCs w:val="24"/>
        </w:rPr>
        <w:t xml:space="preserve"> </w:t>
      </w:r>
      <w:r w:rsidR="005D0128" w:rsidRPr="00C44116">
        <w:rPr>
          <w:rFonts w:ascii="Times New Roman" w:hAnsi="Times New Roman"/>
          <w:sz w:val="24"/>
          <w:szCs w:val="24"/>
        </w:rPr>
        <w:t xml:space="preserve"> </w:t>
      </w:r>
      <w:r w:rsidRPr="00C44116">
        <w:rPr>
          <w:rFonts w:ascii="Times New Roman" w:hAnsi="Times New Roman"/>
          <w:sz w:val="24"/>
          <w:szCs w:val="24"/>
        </w:rPr>
        <w:t>It is for the parties either in the pleadings or in the affidavits to set out and define the nature of their dispute, and it is for the court</w:t>
      </w:r>
      <w:r w:rsidR="005D0128" w:rsidRPr="00C44116">
        <w:rPr>
          <w:rFonts w:ascii="Times New Roman" w:hAnsi="Times New Roman"/>
          <w:sz w:val="24"/>
          <w:szCs w:val="24"/>
        </w:rPr>
        <w:t>s</w:t>
      </w:r>
      <w:r w:rsidRPr="00C44116">
        <w:rPr>
          <w:rFonts w:ascii="Times New Roman" w:hAnsi="Times New Roman"/>
          <w:sz w:val="24"/>
          <w:szCs w:val="24"/>
        </w:rPr>
        <w:t xml:space="preserve"> to adjudicate upon those issues.</w:t>
      </w:r>
    </w:p>
    <w:p w:rsidR="005D0128" w:rsidRPr="00C44116" w:rsidRDefault="005D0128" w:rsidP="005D0128">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As </w:t>
      </w:r>
      <w:r w:rsidR="00780456" w:rsidRPr="00C44116">
        <w:rPr>
          <w:rFonts w:ascii="Times New Roman" w:hAnsi="Times New Roman"/>
          <w:sz w:val="24"/>
          <w:szCs w:val="24"/>
        </w:rPr>
        <w:t xml:space="preserve">this </w:t>
      </w:r>
      <w:r w:rsidRPr="00C44116">
        <w:rPr>
          <w:rFonts w:ascii="Times New Roman" w:hAnsi="Times New Roman"/>
          <w:sz w:val="24"/>
          <w:szCs w:val="24"/>
        </w:rPr>
        <w:t>C</w:t>
      </w:r>
      <w:r w:rsidR="00780456" w:rsidRPr="00C44116">
        <w:rPr>
          <w:rFonts w:ascii="Times New Roman" w:hAnsi="Times New Roman"/>
          <w:sz w:val="24"/>
          <w:szCs w:val="24"/>
        </w:rPr>
        <w:t xml:space="preserve">ourt </w:t>
      </w:r>
      <w:r w:rsidRPr="00C44116">
        <w:rPr>
          <w:rFonts w:ascii="Times New Roman" w:hAnsi="Times New Roman"/>
          <w:sz w:val="24"/>
          <w:szCs w:val="24"/>
        </w:rPr>
        <w:t xml:space="preserve">observed </w:t>
      </w:r>
      <w:r w:rsidR="00780456" w:rsidRPr="00C44116">
        <w:rPr>
          <w:rFonts w:ascii="Times New Roman" w:hAnsi="Times New Roman"/>
          <w:sz w:val="24"/>
          <w:szCs w:val="24"/>
        </w:rPr>
        <w:t xml:space="preserve">in </w:t>
      </w:r>
      <w:r w:rsidR="00780456" w:rsidRPr="00C44116">
        <w:rPr>
          <w:rFonts w:ascii="Times New Roman" w:hAnsi="Times New Roman"/>
          <w:i/>
          <w:sz w:val="24"/>
          <w:szCs w:val="24"/>
        </w:rPr>
        <w:t>PO</w:t>
      </w:r>
      <w:r w:rsidRPr="00C44116">
        <w:rPr>
          <w:rFonts w:ascii="Times New Roman" w:hAnsi="Times New Roman"/>
          <w:i/>
          <w:sz w:val="24"/>
          <w:szCs w:val="24"/>
        </w:rPr>
        <w:t>P</w:t>
      </w:r>
      <w:r w:rsidR="00780456" w:rsidRPr="00C44116">
        <w:rPr>
          <w:rFonts w:ascii="Times New Roman" w:hAnsi="Times New Roman"/>
          <w:i/>
          <w:sz w:val="24"/>
          <w:szCs w:val="24"/>
        </w:rPr>
        <w:t>CRU</w:t>
      </w:r>
      <w:r w:rsidRPr="00C44116">
        <w:rPr>
          <w:rFonts w:ascii="Times New Roman" w:hAnsi="Times New Roman"/>
          <w:sz w:val="24"/>
          <w:szCs w:val="24"/>
        </w:rPr>
        <w:t>,</w:t>
      </w:r>
      <w:r w:rsidRPr="00C44116">
        <w:rPr>
          <w:rStyle w:val="FootnoteReference"/>
          <w:rFonts w:ascii="Times New Roman" w:hAnsi="Times New Roman"/>
          <w:sz w:val="24"/>
          <w:szCs w:val="24"/>
        </w:rPr>
        <w:footnoteReference w:id="17"/>
      </w:r>
      <w:r w:rsidRPr="00C44116">
        <w:rPr>
          <w:rFonts w:ascii="Times New Roman" w:hAnsi="Times New Roman"/>
          <w:sz w:val="24"/>
          <w:szCs w:val="24"/>
        </w:rPr>
        <w:t xml:space="preserve"> the principles are applicable to determining whether a court’s jurisdiction has been ousted may be summarised as follows:</w:t>
      </w:r>
    </w:p>
    <w:p w:rsidR="005D0128" w:rsidRPr="00C44116" w:rsidRDefault="005D0128" w:rsidP="005D0128">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The court retains its jurisdiction unless the statute in question ousts it. </w:t>
      </w:r>
    </w:p>
    <w:p w:rsidR="005D0128" w:rsidRPr="00C44116" w:rsidRDefault="005D0128" w:rsidP="005D0128">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There is a presumption against such an ouster. </w:t>
      </w:r>
    </w:p>
    <w:p w:rsidR="005D0128" w:rsidRPr="00C44116" w:rsidRDefault="005D0128" w:rsidP="005D0128">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It is not to be assumed that a statute intends to oust the High Court’s jurisdiction.</w:t>
      </w:r>
    </w:p>
    <w:p w:rsidR="005D0128" w:rsidRPr="00C44116" w:rsidRDefault="005D0128" w:rsidP="005D0128">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An ouster of jurisdiction must be effected in the clearest of terms.</w:t>
      </w:r>
    </w:p>
    <w:p w:rsidR="005D0128" w:rsidRPr="00C44116" w:rsidRDefault="005D0128" w:rsidP="005D0128">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The mere presence of an alternative procedure is not enough upon which to conclude that the High Court’s jurisdiction has been ousted.</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Just like the court</w:t>
      </w:r>
      <w:r w:rsidR="005D0128" w:rsidRPr="00C44116">
        <w:rPr>
          <w:rFonts w:ascii="Times New Roman" w:hAnsi="Times New Roman"/>
          <w:sz w:val="24"/>
          <w:szCs w:val="24"/>
        </w:rPr>
        <w:t>s</w:t>
      </w:r>
      <w:r w:rsidRPr="00C44116">
        <w:rPr>
          <w:rFonts w:ascii="Times New Roman" w:hAnsi="Times New Roman"/>
          <w:sz w:val="24"/>
          <w:szCs w:val="24"/>
        </w:rPr>
        <w:t xml:space="preserve"> should be slow to interpret a statute to contain an ouster, th</w:t>
      </w:r>
      <w:r w:rsidR="005D0128" w:rsidRPr="00C44116">
        <w:rPr>
          <w:rFonts w:ascii="Times New Roman" w:hAnsi="Times New Roman"/>
          <w:sz w:val="24"/>
          <w:szCs w:val="24"/>
        </w:rPr>
        <w:t>is</w:t>
      </w:r>
      <w:r w:rsidRPr="00C44116">
        <w:rPr>
          <w:rFonts w:ascii="Times New Roman" w:hAnsi="Times New Roman"/>
          <w:sz w:val="24"/>
          <w:szCs w:val="24"/>
        </w:rPr>
        <w:t xml:space="preserve"> </w:t>
      </w:r>
      <w:r w:rsidR="005D0128" w:rsidRPr="00C44116">
        <w:rPr>
          <w:rFonts w:ascii="Times New Roman" w:hAnsi="Times New Roman"/>
          <w:sz w:val="24"/>
          <w:szCs w:val="24"/>
        </w:rPr>
        <w:t>C</w:t>
      </w:r>
      <w:r w:rsidRPr="00C44116">
        <w:rPr>
          <w:rFonts w:ascii="Times New Roman" w:hAnsi="Times New Roman"/>
          <w:sz w:val="24"/>
          <w:szCs w:val="24"/>
        </w:rPr>
        <w:t xml:space="preserve">ourt should be slow to </w:t>
      </w:r>
      <w:r w:rsidR="00BC5CC3" w:rsidRPr="00C44116">
        <w:rPr>
          <w:rFonts w:ascii="Times New Roman" w:hAnsi="Times New Roman"/>
          <w:sz w:val="24"/>
          <w:szCs w:val="24"/>
        </w:rPr>
        <w:t xml:space="preserve">develop the common law, taking into account </w:t>
      </w:r>
      <w:r w:rsidRPr="00C44116">
        <w:rPr>
          <w:rFonts w:ascii="Times New Roman" w:hAnsi="Times New Roman"/>
          <w:sz w:val="24"/>
          <w:szCs w:val="24"/>
        </w:rPr>
        <w:t xml:space="preserve">the </w:t>
      </w:r>
      <w:r w:rsidRPr="00C44116">
        <w:rPr>
          <w:rFonts w:ascii="Times New Roman" w:hAnsi="Times New Roman"/>
          <w:sz w:val="24"/>
          <w:szCs w:val="24"/>
        </w:rPr>
        <w:lastRenderedPageBreak/>
        <w:t>interests of justice</w:t>
      </w:r>
      <w:r w:rsidR="005D0128" w:rsidRPr="00C44116">
        <w:rPr>
          <w:rFonts w:ascii="Times New Roman" w:hAnsi="Times New Roman"/>
          <w:sz w:val="24"/>
          <w:szCs w:val="24"/>
        </w:rPr>
        <w:t xml:space="preserve"> as requiring that this</w:t>
      </w:r>
      <w:r w:rsidRPr="00C44116">
        <w:rPr>
          <w:rFonts w:ascii="Times New Roman" w:hAnsi="Times New Roman"/>
          <w:sz w:val="24"/>
          <w:szCs w:val="24"/>
        </w:rPr>
        <w:t xml:space="preserve"> </w:t>
      </w:r>
      <w:r w:rsidR="005D0128" w:rsidRPr="00C44116">
        <w:rPr>
          <w:rFonts w:ascii="Times New Roman" w:hAnsi="Times New Roman"/>
          <w:sz w:val="24"/>
          <w:szCs w:val="24"/>
        </w:rPr>
        <w:t>C</w:t>
      </w:r>
      <w:r w:rsidRPr="00C44116">
        <w:rPr>
          <w:rFonts w:ascii="Times New Roman" w:hAnsi="Times New Roman"/>
          <w:sz w:val="24"/>
          <w:szCs w:val="24"/>
        </w:rPr>
        <w:t>ourt does not even get to the merits of the dispute.</w:t>
      </w:r>
    </w:p>
    <w:p w:rsidR="00F27917" w:rsidRPr="00C44116" w:rsidRDefault="00F27917"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As Lord Hope remarked in </w:t>
      </w:r>
      <w:r w:rsidRPr="00C44116">
        <w:rPr>
          <w:rFonts w:ascii="Times New Roman" w:hAnsi="Times New Roman"/>
          <w:i/>
          <w:sz w:val="24"/>
          <w:szCs w:val="24"/>
        </w:rPr>
        <w:t>Kuwait Airways (No 3)</w:t>
      </w:r>
      <w:r w:rsidRPr="00C44116">
        <w:rPr>
          <w:rFonts w:ascii="Times New Roman" w:hAnsi="Times New Roman"/>
          <w:sz w:val="24"/>
          <w:szCs w:val="24"/>
        </w:rPr>
        <w:t xml:space="preserve">, </w:t>
      </w:r>
      <w:r w:rsidR="00CA3548" w:rsidRPr="00C44116">
        <w:rPr>
          <w:rFonts w:ascii="Times New Roman" w:hAnsi="Times New Roman"/>
          <w:sz w:val="24"/>
          <w:szCs w:val="24"/>
        </w:rPr>
        <w:t>it would be contrary to principle for the courts to give legal effect to acts of foreign states which are in violation of international law as declared under the Charter of the United Nations.  Lord Hope hold further that the maintenance of the rule of law is also an important social interest.</w:t>
      </w:r>
      <w:r w:rsidR="00CA3548" w:rsidRPr="00C44116">
        <w:rPr>
          <w:rStyle w:val="FootnoteReference"/>
          <w:rFonts w:ascii="Times New Roman" w:hAnsi="Times New Roman"/>
          <w:sz w:val="24"/>
          <w:szCs w:val="24"/>
        </w:rPr>
        <w:footnoteReference w:id="18"/>
      </w:r>
    </w:p>
    <w:p w:rsidR="00C5514A" w:rsidRPr="00C44116" w:rsidRDefault="00671335"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respondents attempt to distinguish </w:t>
      </w:r>
      <w:r w:rsidRPr="00C44116">
        <w:rPr>
          <w:rFonts w:ascii="Times New Roman" w:hAnsi="Times New Roman"/>
          <w:i/>
          <w:sz w:val="24"/>
          <w:szCs w:val="24"/>
        </w:rPr>
        <w:t>Kuwait Airways</w:t>
      </w:r>
      <w:r w:rsidRPr="00C44116">
        <w:rPr>
          <w:rFonts w:ascii="Times New Roman" w:hAnsi="Times New Roman"/>
          <w:sz w:val="24"/>
          <w:szCs w:val="24"/>
        </w:rPr>
        <w:t xml:space="preserve"> (see para</w:t>
      </w:r>
      <w:r w:rsidR="00C5514A" w:rsidRPr="00C44116">
        <w:rPr>
          <w:rFonts w:ascii="Times New Roman" w:hAnsi="Times New Roman"/>
          <w:sz w:val="24"/>
          <w:szCs w:val="24"/>
        </w:rPr>
        <w:t>s</w:t>
      </w:r>
      <w:r w:rsidRPr="00C44116">
        <w:rPr>
          <w:rFonts w:ascii="Times New Roman" w:hAnsi="Times New Roman"/>
          <w:sz w:val="24"/>
          <w:szCs w:val="24"/>
        </w:rPr>
        <w:t xml:space="preserve"> 93-</w:t>
      </w:r>
      <w:r w:rsidR="00C5514A" w:rsidRPr="00C44116">
        <w:rPr>
          <w:rFonts w:ascii="Times New Roman" w:hAnsi="Times New Roman"/>
          <w:sz w:val="24"/>
          <w:szCs w:val="24"/>
        </w:rPr>
        <w:t>94 of the heads).  However:</w:t>
      </w:r>
    </w:p>
    <w:p w:rsidR="00C5514A" w:rsidRPr="00C44116" w:rsidRDefault="00C5514A" w:rsidP="00C5514A">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In doing so they incorrectly submit that the House of Lord’s decision was specifically and only based on the Security Council determination.  A proper reading of the speeches reveals that the Security Council determination was but one element of the public policy consideration, which evidenced the serious breach of law.  In any event, the House of Lords stated the exception in general terms.  </w:t>
      </w:r>
    </w:p>
    <w:p w:rsidR="00C5514A" w:rsidRPr="00C44116" w:rsidRDefault="00C5514A" w:rsidP="00C5514A">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In both cases property was unlawfully misappropriated by an occupying force, and then exploited by a corporation.  </w:t>
      </w:r>
    </w:p>
    <w:p w:rsidR="00C5514A" w:rsidRPr="00C44116" w:rsidRDefault="00C5514A" w:rsidP="00C5514A">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Just as there was international consensus regarding the illegality of Iraq’s actions, so in this matter there is international consensus regarding Morocco not being entitled to exercise sovereignty in Western Sahara, and the area being a non-self-governing territory.  These settled </w:t>
      </w:r>
      <w:r w:rsidRPr="00C44116">
        <w:rPr>
          <w:rFonts w:ascii="Times New Roman" w:hAnsi="Times New Roman"/>
          <w:sz w:val="24"/>
          <w:szCs w:val="24"/>
        </w:rPr>
        <w:lastRenderedPageBreak/>
        <w:t>questions of international law form the basis for the applicants’ vindicatory claim.</w:t>
      </w:r>
    </w:p>
    <w:p w:rsidR="00671335" w:rsidRPr="00C44116" w:rsidRDefault="0046442C" w:rsidP="00C5514A">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In both matters there are diplomatic processes running at the same time as the legal proceedings.  The </w:t>
      </w:r>
      <w:r w:rsidRPr="00C44116">
        <w:rPr>
          <w:rFonts w:ascii="Times New Roman" w:hAnsi="Times New Roman"/>
          <w:i/>
          <w:sz w:val="24"/>
          <w:szCs w:val="24"/>
        </w:rPr>
        <w:t xml:space="preserve">Kuwait Airways </w:t>
      </w:r>
      <w:r w:rsidRPr="00C44116">
        <w:rPr>
          <w:rFonts w:ascii="Times New Roman" w:hAnsi="Times New Roman"/>
          <w:sz w:val="24"/>
          <w:szCs w:val="24"/>
        </w:rPr>
        <w:t xml:space="preserve">case is an </w:t>
      </w:r>
      <w:r w:rsidRPr="00C44116">
        <w:rPr>
          <w:rFonts w:ascii="Times New Roman" w:hAnsi="Times New Roman"/>
          <w:i/>
          <w:sz w:val="24"/>
          <w:szCs w:val="24"/>
        </w:rPr>
        <w:t xml:space="preserve">a fortiori </w:t>
      </w:r>
      <w:r w:rsidRPr="00C44116">
        <w:rPr>
          <w:rFonts w:ascii="Times New Roman" w:hAnsi="Times New Roman"/>
          <w:sz w:val="24"/>
          <w:szCs w:val="24"/>
        </w:rPr>
        <w:t xml:space="preserve">case in that there was an alternative remedy available in the form of the compensation commission.  Yet despite this the English courts allowed the action to proceed. </w:t>
      </w:r>
      <w:r w:rsidR="00C5514A" w:rsidRPr="00C44116">
        <w:rPr>
          <w:rFonts w:ascii="Times New Roman" w:hAnsi="Times New Roman"/>
          <w:sz w:val="24"/>
          <w:szCs w:val="24"/>
        </w:rPr>
        <w:t xml:space="preserve">   </w:t>
      </w:r>
    </w:p>
    <w:p w:rsidR="0046442C" w:rsidRPr="00C44116" w:rsidRDefault="0046442C"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Regarding </w:t>
      </w:r>
      <w:r w:rsidRPr="00C44116">
        <w:rPr>
          <w:rFonts w:ascii="Times New Roman" w:hAnsi="Times New Roman"/>
          <w:i/>
          <w:sz w:val="24"/>
          <w:szCs w:val="24"/>
        </w:rPr>
        <w:t>Belhaj</w:t>
      </w:r>
      <w:r w:rsidRPr="00C44116">
        <w:rPr>
          <w:rFonts w:ascii="Times New Roman" w:hAnsi="Times New Roman"/>
          <w:sz w:val="24"/>
          <w:szCs w:val="24"/>
        </w:rPr>
        <w:t>, the respondents’ submission regarding a “</w:t>
      </w:r>
      <w:r w:rsidRPr="00C44116">
        <w:rPr>
          <w:rFonts w:ascii="Times New Roman" w:hAnsi="Times New Roman"/>
          <w:i/>
          <w:sz w:val="24"/>
          <w:szCs w:val="24"/>
        </w:rPr>
        <w:t>domestic foothold</w:t>
      </w:r>
      <w:r w:rsidRPr="00C44116">
        <w:rPr>
          <w:rFonts w:ascii="Times New Roman" w:hAnsi="Times New Roman"/>
          <w:sz w:val="24"/>
          <w:szCs w:val="24"/>
        </w:rPr>
        <w:t xml:space="preserve">” allowing public policy exception is based on a misreading of the judgment.  The immediate source of the exception was the </w:t>
      </w:r>
      <w:r w:rsidRPr="00C44116">
        <w:rPr>
          <w:rFonts w:ascii="Times New Roman" w:hAnsi="Times New Roman"/>
          <w:i/>
          <w:sz w:val="24"/>
          <w:szCs w:val="24"/>
        </w:rPr>
        <w:t xml:space="preserve">Kuwait Airways </w:t>
      </w:r>
      <w:r w:rsidRPr="00C44116">
        <w:rPr>
          <w:rFonts w:ascii="Times New Roman" w:hAnsi="Times New Roman"/>
          <w:sz w:val="24"/>
          <w:szCs w:val="24"/>
        </w:rPr>
        <w:t>case in which there was no “</w:t>
      </w:r>
      <w:r w:rsidRPr="00C44116">
        <w:rPr>
          <w:rFonts w:ascii="Times New Roman" w:hAnsi="Times New Roman"/>
          <w:i/>
          <w:sz w:val="24"/>
          <w:szCs w:val="24"/>
        </w:rPr>
        <w:t>domestic foothold</w:t>
      </w:r>
      <w:r w:rsidRPr="00C44116">
        <w:rPr>
          <w:rFonts w:ascii="Times New Roman" w:hAnsi="Times New Roman"/>
          <w:sz w:val="24"/>
          <w:szCs w:val="24"/>
        </w:rPr>
        <w:t>”.  In any event, in this case there is a domestic connection inasmuch as the property is within the jurisdiction of this Court.</w:t>
      </w:r>
    </w:p>
    <w:p w:rsidR="0046442C" w:rsidRPr="00C44116" w:rsidRDefault="000E0F53"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different facts in </w:t>
      </w:r>
      <w:r w:rsidRPr="00C44116">
        <w:rPr>
          <w:rFonts w:ascii="Times New Roman" w:hAnsi="Times New Roman"/>
          <w:i/>
          <w:sz w:val="24"/>
          <w:szCs w:val="24"/>
        </w:rPr>
        <w:t xml:space="preserve">Belhaj </w:t>
      </w:r>
      <w:r w:rsidRPr="00C44116">
        <w:rPr>
          <w:rFonts w:ascii="Times New Roman" w:hAnsi="Times New Roman"/>
          <w:sz w:val="24"/>
          <w:szCs w:val="24"/>
        </w:rPr>
        <w:t xml:space="preserve">are not of any significance.  The important part of the decision is the recognition that any treatment which amounts to a breach of </w:t>
      </w:r>
      <w:r w:rsidRPr="00C44116">
        <w:rPr>
          <w:rFonts w:ascii="Times New Roman" w:hAnsi="Times New Roman"/>
          <w:i/>
          <w:sz w:val="24"/>
          <w:szCs w:val="24"/>
        </w:rPr>
        <w:t xml:space="preserve">jus cogens </w:t>
      </w:r>
      <w:r w:rsidRPr="00C44116">
        <w:rPr>
          <w:rFonts w:ascii="Times New Roman" w:hAnsi="Times New Roman"/>
          <w:sz w:val="24"/>
          <w:szCs w:val="24"/>
        </w:rPr>
        <w:t>or peremptory norms would almost always fall within the public policy exception.</w:t>
      </w:r>
      <w:r w:rsidRPr="00C44116">
        <w:rPr>
          <w:rStyle w:val="FootnoteReference"/>
          <w:rFonts w:ascii="Times New Roman" w:hAnsi="Times New Roman"/>
          <w:sz w:val="24"/>
          <w:szCs w:val="24"/>
        </w:rPr>
        <w:footnoteReference w:id="19"/>
      </w:r>
      <w:r w:rsidRPr="00C44116">
        <w:rPr>
          <w:rFonts w:ascii="Times New Roman" w:hAnsi="Times New Roman"/>
          <w:sz w:val="24"/>
          <w:szCs w:val="24"/>
        </w:rPr>
        <w:t xml:space="preserve"> The precise kind of violation is not important.</w:t>
      </w:r>
    </w:p>
    <w:p w:rsidR="000E0F53" w:rsidRPr="00C44116" w:rsidRDefault="000E0F53"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It is suggested by the respondents (para 101.1 of the heads) that public policy appears to be relevant only when the issue is the specific recognition or non-recognition of foreign law.  However, the paragraph relied upon merely provides examples of cases (without seeking to limit the general rule), and in any event </w:t>
      </w:r>
      <w:r w:rsidRPr="00C44116">
        <w:rPr>
          <w:rFonts w:ascii="Times New Roman" w:hAnsi="Times New Roman"/>
          <w:sz w:val="24"/>
          <w:szCs w:val="24"/>
        </w:rPr>
        <w:lastRenderedPageBreak/>
        <w:t xml:space="preserve">this paragraph relates to the first type of act of state which the respondents accept is not of application in this matter. </w:t>
      </w:r>
    </w:p>
    <w:p w:rsidR="00780456" w:rsidRPr="00C44116" w:rsidRDefault="009B7501"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case pleaded by the respondents is set out in paragraph 6 of their answering affidavit. </w:t>
      </w:r>
      <w:r w:rsidR="00780456" w:rsidRPr="00C44116">
        <w:rPr>
          <w:rFonts w:ascii="Times New Roman" w:hAnsi="Times New Roman"/>
          <w:sz w:val="24"/>
          <w:szCs w:val="24"/>
        </w:rPr>
        <w:t xml:space="preserve"> </w:t>
      </w:r>
      <w:r w:rsidRPr="00C44116">
        <w:rPr>
          <w:rFonts w:ascii="Times New Roman" w:hAnsi="Times New Roman"/>
          <w:sz w:val="24"/>
          <w:szCs w:val="24"/>
        </w:rPr>
        <w:t>In the h</w:t>
      </w:r>
      <w:r w:rsidR="00780456" w:rsidRPr="00C44116">
        <w:rPr>
          <w:rFonts w:ascii="Times New Roman" w:hAnsi="Times New Roman"/>
          <w:sz w:val="24"/>
          <w:szCs w:val="24"/>
        </w:rPr>
        <w:t xml:space="preserve">eads </w:t>
      </w:r>
      <w:r w:rsidR="00C85E9E" w:rsidRPr="00C44116">
        <w:rPr>
          <w:rFonts w:ascii="Times New Roman" w:hAnsi="Times New Roman"/>
          <w:sz w:val="24"/>
          <w:szCs w:val="24"/>
        </w:rPr>
        <w:t xml:space="preserve">of argument </w:t>
      </w:r>
      <w:r w:rsidR="00780456" w:rsidRPr="00C44116">
        <w:rPr>
          <w:rFonts w:ascii="Times New Roman" w:hAnsi="Times New Roman"/>
          <w:sz w:val="24"/>
          <w:szCs w:val="24"/>
        </w:rPr>
        <w:t xml:space="preserve">a different case is made out, </w:t>
      </w:r>
      <w:r w:rsidRPr="00C44116">
        <w:rPr>
          <w:rFonts w:ascii="Times New Roman" w:hAnsi="Times New Roman"/>
          <w:sz w:val="24"/>
          <w:szCs w:val="24"/>
        </w:rPr>
        <w:t>in which the respondents approach the matter on the basis that Western Sahara is a non-self-governing territory</w:t>
      </w:r>
      <w:r w:rsidR="00C85E9E" w:rsidRPr="00C44116">
        <w:rPr>
          <w:rFonts w:ascii="Times New Roman" w:hAnsi="Times New Roman"/>
          <w:sz w:val="24"/>
          <w:szCs w:val="24"/>
        </w:rPr>
        <w:t>.  For instance, at paragraph 6 of the respondents’ heads</w:t>
      </w:r>
      <w:r w:rsidR="00BC5CC3" w:rsidRPr="00C44116">
        <w:rPr>
          <w:rFonts w:ascii="Times New Roman" w:hAnsi="Times New Roman"/>
          <w:sz w:val="24"/>
          <w:szCs w:val="24"/>
        </w:rPr>
        <w:t xml:space="preserve"> (record pg 366)</w:t>
      </w:r>
      <w:r w:rsidR="00C85E9E" w:rsidRPr="00C44116">
        <w:rPr>
          <w:rFonts w:ascii="Times New Roman" w:hAnsi="Times New Roman"/>
          <w:sz w:val="24"/>
          <w:szCs w:val="24"/>
        </w:rPr>
        <w:t>, and notwithstanding the repetition of paragraph 6 of the answering affidavit</w:t>
      </w:r>
      <w:r w:rsidR="00BC5CC3" w:rsidRPr="00C44116">
        <w:rPr>
          <w:rFonts w:ascii="Times New Roman" w:hAnsi="Times New Roman"/>
          <w:sz w:val="24"/>
          <w:szCs w:val="24"/>
        </w:rPr>
        <w:t xml:space="preserve"> in the heads of argument</w:t>
      </w:r>
      <w:r w:rsidR="00C85E9E" w:rsidRPr="00C44116">
        <w:rPr>
          <w:rFonts w:ascii="Times New Roman" w:hAnsi="Times New Roman"/>
          <w:sz w:val="24"/>
          <w:szCs w:val="24"/>
        </w:rPr>
        <w:t>, they state that in addressing this Court the legal arguments are framed in the terms of “</w:t>
      </w:r>
      <w:r w:rsidR="00C85E9E" w:rsidRPr="00C44116">
        <w:rPr>
          <w:rFonts w:ascii="Times New Roman" w:hAnsi="Times New Roman"/>
          <w:i/>
          <w:sz w:val="24"/>
          <w:szCs w:val="24"/>
        </w:rPr>
        <w:t>the consolidated legal framework on natural resource activities in non-self-governing territories</w:t>
      </w:r>
      <w:r w:rsidR="00C85E9E" w:rsidRPr="00C44116">
        <w:rPr>
          <w:rFonts w:ascii="Times New Roman" w:hAnsi="Times New Roman"/>
          <w:sz w:val="24"/>
          <w:szCs w:val="24"/>
        </w:rPr>
        <w:t>”</w:t>
      </w:r>
      <w:r w:rsidR="000E69E4" w:rsidRPr="00C44116">
        <w:rPr>
          <w:rFonts w:ascii="Times New Roman" w:hAnsi="Times New Roman"/>
          <w:sz w:val="24"/>
          <w:szCs w:val="24"/>
        </w:rPr>
        <w:t xml:space="preserve"> (which has developed by custom, as opposed to being established by the UN)</w:t>
      </w:r>
      <w:r w:rsidR="00C85E9E" w:rsidRPr="00C44116">
        <w:rPr>
          <w:rFonts w:ascii="Times New Roman" w:hAnsi="Times New Roman"/>
          <w:sz w:val="24"/>
          <w:szCs w:val="24"/>
        </w:rPr>
        <w:t>.</w:t>
      </w:r>
      <w:r w:rsidRPr="00C44116">
        <w:rPr>
          <w:rFonts w:ascii="Times New Roman" w:hAnsi="Times New Roman"/>
          <w:sz w:val="24"/>
          <w:szCs w:val="24"/>
        </w:rPr>
        <w:t xml:space="preserve"> </w:t>
      </w:r>
      <w:r w:rsidR="00C85E9E" w:rsidRPr="00C44116">
        <w:rPr>
          <w:rFonts w:ascii="Times New Roman" w:hAnsi="Times New Roman"/>
          <w:sz w:val="24"/>
          <w:szCs w:val="24"/>
        </w:rPr>
        <w:t xml:space="preserve"> </w:t>
      </w:r>
      <w:r w:rsidR="0046442C" w:rsidRPr="00C44116">
        <w:rPr>
          <w:rFonts w:ascii="Times New Roman" w:hAnsi="Times New Roman"/>
          <w:sz w:val="24"/>
          <w:szCs w:val="24"/>
        </w:rPr>
        <w:t>Similarly, in paragraph 99 of the heads the respondents accept that this is a case concerning “</w:t>
      </w:r>
      <w:r w:rsidR="0046442C" w:rsidRPr="00C44116">
        <w:rPr>
          <w:rFonts w:ascii="Times New Roman" w:hAnsi="Times New Roman"/>
          <w:i/>
          <w:sz w:val="24"/>
          <w:szCs w:val="24"/>
        </w:rPr>
        <w:t>acts committed by a foreign state abroad</w:t>
      </w:r>
      <w:r w:rsidR="0046442C" w:rsidRPr="00C44116">
        <w:rPr>
          <w:rFonts w:ascii="Times New Roman" w:hAnsi="Times New Roman"/>
          <w:sz w:val="24"/>
          <w:szCs w:val="24"/>
        </w:rPr>
        <w:t xml:space="preserve">”. </w:t>
      </w:r>
      <w:r w:rsidRPr="00C44116">
        <w:rPr>
          <w:rFonts w:ascii="Times New Roman" w:hAnsi="Times New Roman"/>
          <w:sz w:val="24"/>
          <w:szCs w:val="24"/>
        </w:rPr>
        <w:t xml:space="preserve">The </w:t>
      </w:r>
      <w:r w:rsidR="00780456" w:rsidRPr="00C44116">
        <w:rPr>
          <w:rFonts w:ascii="Times New Roman" w:hAnsi="Times New Roman"/>
          <w:sz w:val="24"/>
          <w:szCs w:val="24"/>
        </w:rPr>
        <w:t xml:space="preserve">case </w:t>
      </w:r>
      <w:r w:rsidRPr="00C44116">
        <w:rPr>
          <w:rFonts w:ascii="Times New Roman" w:hAnsi="Times New Roman"/>
          <w:sz w:val="24"/>
          <w:szCs w:val="24"/>
        </w:rPr>
        <w:t xml:space="preserve">in the heads </w:t>
      </w:r>
      <w:r w:rsidR="00780456" w:rsidRPr="00C44116">
        <w:rPr>
          <w:rFonts w:ascii="Times New Roman" w:hAnsi="Times New Roman"/>
          <w:sz w:val="24"/>
          <w:szCs w:val="24"/>
        </w:rPr>
        <w:t xml:space="preserve">is not sustainable on </w:t>
      </w:r>
      <w:r w:rsidRPr="00C44116">
        <w:rPr>
          <w:rFonts w:ascii="Times New Roman" w:hAnsi="Times New Roman"/>
          <w:sz w:val="24"/>
          <w:szCs w:val="24"/>
        </w:rPr>
        <w:t xml:space="preserve">the </w:t>
      </w:r>
      <w:r w:rsidR="00780456" w:rsidRPr="00C44116">
        <w:rPr>
          <w:rFonts w:ascii="Times New Roman" w:hAnsi="Times New Roman"/>
          <w:sz w:val="24"/>
          <w:szCs w:val="24"/>
        </w:rPr>
        <w:t>facts</w:t>
      </w:r>
      <w:r w:rsidR="00BC5CC3" w:rsidRPr="00C44116">
        <w:rPr>
          <w:rFonts w:ascii="Times New Roman" w:hAnsi="Times New Roman"/>
          <w:sz w:val="24"/>
          <w:szCs w:val="24"/>
        </w:rPr>
        <w:t xml:space="preserve"> as pleaded</w:t>
      </w:r>
      <w:r w:rsidR="00780456" w:rsidRPr="00C44116">
        <w:rPr>
          <w:rFonts w:ascii="Times New Roman" w:hAnsi="Times New Roman"/>
          <w:sz w:val="24"/>
          <w:szCs w:val="24"/>
        </w:rPr>
        <w:t>.</w:t>
      </w:r>
    </w:p>
    <w:p w:rsidR="00780456" w:rsidRPr="00C44116" w:rsidRDefault="009B7501"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respondents argue that there are no judicial and manageable standards for the six reasons set out in paragraph 102. However</w:t>
      </w:r>
      <w:r w:rsidR="00BC5CC3" w:rsidRPr="00C44116">
        <w:rPr>
          <w:rFonts w:ascii="Times New Roman" w:hAnsi="Times New Roman"/>
          <w:sz w:val="24"/>
          <w:szCs w:val="24"/>
        </w:rPr>
        <w:t xml:space="preserve"> each of the six reasons has a complete answer</w:t>
      </w:r>
      <w:r w:rsidRPr="00C44116">
        <w:rPr>
          <w:rFonts w:ascii="Times New Roman" w:hAnsi="Times New Roman"/>
          <w:sz w:val="24"/>
          <w:szCs w:val="24"/>
        </w:rPr>
        <w:t>:</w:t>
      </w:r>
    </w:p>
    <w:p w:rsidR="00BC5CC3" w:rsidRPr="00C44116" w:rsidRDefault="00BC5CC3" w:rsidP="00BC5CC3">
      <w:pPr>
        <w:spacing w:before="360" w:after="360" w:line="480" w:lineRule="auto"/>
        <w:ind w:left="570"/>
        <w:jc w:val="both"/>
        <w:rPr>
          <w:rFonts w:ascii="Times New Roman" w:hAnsi="Times New Roman"/>
          <w:b/>
          <w:sz w:val="24"/>
          <w:szCs w:val="24"/>
          <w:u w:val="single"/>
        </w:rPr>
      </w:pPr>
      <w:r w:rsidRPr="00C44116">
        <w:rPr>
          <w:rFonts w:ascii="Times New Roman" w:hAnsi="Times New Roman"/>
          <w:b/>
          <w:sz w:val="24"/>
          <w:szCs w:val="24"/>
          <w:u w:val="single"/>
        </w:rPr>
        <w:t>Ad para 102.1</w:t>
      </w:r>
    </w:p>
    <w:p w:rsidR="009B7501" w:rsidRPr="00C44116" w:rsidRDefault="009B7501" w:rsidP="009B750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The existence of ongoing diplomatic processes is irrelevant to the question of whether there are judicial and manageable standards.</w:t>
      </w:r>
    </w:p>
    <w:p w:rsidR="00BC5CC3" w:rsidRPr="00C44116" w:rsidRDefault="00BC5CC3" w:rsidP="00BC5CC3">
      <w:pPr>
        <w:spacing w:before="360" w:after="360" w:line="480" w:lineRule="auto"/>
        <w:ind w:left="570"/>
        <w:jc w:val="both"/>
        <w:rPr>
          <w:rFonts w:ascii="Times New Roman" w:hAnsi="Times New Roman"/>
          <w:b/>
          <w:sz w:val="24"/>
          <w:szCs w:val="24"/>
          <w:u w:val="single"/>
        </w:rPr>
      </w:pPr>
      <w:r w:rsidRPr="00C44116">
        <w:rPr>
          <w:rFonts w:ascii="Times New Roman" w:hAnsi="Times New Roman"/>
          <w:b/>
          <w:sz w:val="24"/>
          <w:szCs w:val="24"/>
          <w:u w:val="single"/>
        </w:rPr>
        <w:t>Ad para 102.2</w:t>
      </w:r>
    </w:p>
    <w:p w:rsidR="009B7501" w:rsidRPr="00C44116" w:rsidRDefault="009B7501" w:rsidP="009B750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lastRenderedPageBreak/>
        <w:t>Similarly, the Polisario Front’s participation in that process does not impact on the question of judicial and manageable standards.</w:t>
      </w:r>
    </w:p>
    <w:p w:rsidR="00BC5CC3" w:rsidRPr="00C44116" w:rsidRDefault="00BC5CC3" w:rsidP="00BC5CC3">
      <w:pPr>
        <w:spacing w:before="360" w:after="360" w:line="480" w:lineRule="auto"/>
        <w:ind w:left="570"/>
        <w:jc w:val="both"/>
        <w:rPr>
          <w:rFonts w:ascii="Times New Roman" w:hAnsi="Times New Roman"/>
          <w:b/>
          <w:sz w:val="24"/>
          <w:szCs w:val="24"/>
          <w:u w:val="single"/>
        </w:rPr>
      </w:pPr>
      <w:r w:rsidRPr="00C44116">
        <w:rPr>
          <w:rFonts w:ascii="Times New Roman" w:hAnsi="Times New Roman"/>
          <w:b/>
          <w:sz w:val="24"/>
          <w:szCs w:val="24"/>
          <w:u w:val="single"/>
        </w:rPr>
        <w:t>Ad para 102.3</w:t>
      </w:r>
    </w:p>
    <w:p w:rsidR="00B61A9C" w:rsidRPr="00C44116" w:rsidRDefault="009B7501" w:rsidP="009B750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Insofar as the conduct of Morocco in Western Sahara may be relevant to the question of title, it does not follow that there are no judicial and manageable standards.</w:t>
      </w:r>
    </w:p>
    <w:p w:rsidR="00BC5CC3" w:rsidRPr="00C44116" w:rsidRDefault="00BC5CC3" w:rsidP="00BC5CC3">
      <w:pPr>
        <w:spacing w:before="360" w:after="360" w:line="480" w:lineRule="auto"/>
        <w:ind w:left="570"/>
        <w:jc w:val="both"/>
        <w:rPr>
          <w:rFonts w:ascii="Times New Roman" w:hAnsi="Times New Roman"/>
          <w:b/>
          <w:sz w:val="24"/>
          <w:szCs w:val="24"/>
          <w:u w:val="single"/>
        </w:rPr>
      </w:pPr>
      <w:r w:rsidRPr="00C44116">
        <w:rPr>
          <w:rFonts w:ascii="Times New Roman" w:hAnsi="Times New Roman"/>
          <w:b/>
          <w:sz w:val="24"/>
          <w:szCs w:val="24"/>
          <w:u w:val="single"/>
        </w:rPr>
        <w:t>Ad para 102.4</w:t>
      </w:r>
    </w:p>
    <w:p w:rsidR="00B61A9C" w:rsidRPr="00C44116" w:rsidRDefault="00B61A9C" w:rsidP="009B750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Morocco’s status in Western Sahara is settled.  Several courts, including the International Court of Justice and the European Court of Justice, have determined that Morocco has no territorial claim to Western Sahara.  </w:t>
      </w:r>
      <w:r w:rsidR="00671335" w:rsidRPr="00C44116">
        <w:rPr>
          <w:rFonts w:ascii="Times New Roman" w:hAnsi="Times New Roman"/>
          <w:sz w:val="24"/>
          <w:szCs w:val="24"/>
        </w:rPr>
        <w:t xml:space="preserve">(This case is thus fundamentally different to </w:t>
      </w:r>
      <w:r w:rsidR="00671335" w:rsidRPr="00C44116">
        <w:rPr>
          <w:rFonts w:ascii="Times New Roman" w:hAnsi="Times New Roman"/>
          <w:i/>
          <w:sz w:val="24"/>
          <w:szCs w:val="24"/>
        </w:rPr>
        <w:t>Buttes</w:t>
      </w:r>
      <w:r w:rsidR="00671335" w:rsidRPr="00C44116">
        <w:rPr>
          <w:rFonts w:ascii="Times New Roman" w:hAnsi="Times New Roman"/>
          <w:sz w:val="24"/>
          <w:szCs w:val="24"/>
        </w:rPr>
        <w:t xml:space="preserve">) </w:t>
      </w:r>
      <w:r w:rsidRPr="00C44116">
        <w:rPr>
          <w:rFonts w:ascii="Times New Roman" w:hAnsi="Times New Roman"/>
          <w:sz w:val="24"/>
          <w:szCs w:val="24"/>
        </w:rPr>
        <w:t>It is also long-established and settled that Western Sahara is a non-self-governing territory.  The respondents have not disputed the claims in the founding affidavit in this regard, nor is it disputed in the answering affidavit that Morocco occupies Western Sahara</w:t>
      </w:r>
      <w:r w:rsidR="007C1E96" w:rsidRPr="00C44116">
        <w:rPr>
          <w:rFonts w:ascii="Times New Roman" w:hAnsi="Times New Roman"/>
          <w:sz w:val="24"/>
          <w:szCs w:val="24"/>
        </w:rPr>
        <w:t>, and this carries with it certain obligations under international humanitarian law</w:t>
      </w:r>
      <w:r w:rsidRPr="00C44116">
        <w:rPr>
          <w:rFonts w:ascii="Times New Roman" w:hAnsi="Times New Roman"/>
          <w:sz w:val="24"/>
          <w:szCs w:val="24"/>
        </w:rPr>
        <w:t>.</w:t>
      </w:r>
      <w:r w:rsidR="007C1E96" w:rsidRPr="00C44116">
        <w:rPr>
          <w:rStyle w:val="FootnoteReference"/>
          <w:rFonts w:ascii="Times New Roman" w:hAnsi="Times New Roman"/>
          <w:sz w:val="24"/>
          <w:szCs w:val="24"/>
        </w:rPr>
        <w:footnoteReference w:id="20"/>
      </w:r>
      <w:r w:rsidR="007C1E96" w:rsidRPr="00C44116">
        <w:rPr>
          <w:rFonts w:ascii="Times New Roman" w:hAnsi="Times New Roman"/>
          <w:sz w:val="24"/>
          <w:szCs w:val="24"/>
        </w:rPr>
        <w:t xml:space="preserve"> </w:t>
      </w:r>
      <w:r w:rsidR="00A35BD1" w:rsidRPr="00C44116">
        <w:rPr>
          <w:rFonts w:ascii="Times New Roman" w:hAnsi="Times New Roman"/>
          <w:sz w:val="24"/>
          <w:szCs w:val="24"/>
        </w:rPr>
        <w:t xml:space="preserve"> (It is therefore not open to the respondents to submit now, as they attempt to do, that Morocco is not an occupying power – see para 46 of the heads.)</w:t>
      </w:r>
    </w:p>
    <w:p w:rsidR="002F4749" w:rsidRDefault="002F4749">
      <w:pPr>
        <w:rPr>
          <w:rFonts w:ascii="Times New Roman" w:hAnsi="Times New Roman"/>
          <w:b/>
          <w:sz w:val="24"/>
          <w:szCs w:val="24"/>
          <w:u w:val="single"/>
        </w:rPr>
      </w:pPr>
      <w:r>
        <w:rPr>
          <w:rFonts w:ascii="Times New Roman" w:hAnsi="Times New Roman"/>
          <w:b/>
          <w:sz w:val="24"/>
          <w:szCs w:val="24"/>
          <w:u w:val="single"/>
        </w:rPr>
        <w:br w:type="page"/>
      </w:r>
    </w:p>
    <w:p w:rsidR="00BC5CC3" w:rsidRPr="00C44116" w:rsidRDefault="00BC5CC3" w:rsidP="00BC5CC3">
      <w:pPr>
        <w:spacing w:before="360" w:after="360" w:line="480" w:lineRule="auto"/>
        <w:ind w:left="570"/>
        <w:jc w:val="both"/>
        <w:rPr>
          <w:rFonts w:ascii="Times New Roman" w:hAnsi="Times New Roman"/>
          <w:b/>
          <w:sz w:val="24"/>
          <w:szCs w:val="24"/>
          <w:u w:val="single"/>
        </w:rPr>
      </w:pPr>
      <w:r w:rsidRPr="00C44116">
        <w:rPr>
          <w:rFonts w:ascii="Times New Roman" w:hAnsi="Times New Roman"/>
          <w:b/>
          <w:sz w:val="24"/>
          <w:szCs w:val="24"/>
          <w:u w:val="single"/>
        </w:rPr>
        <w:lastRenderedPageBreak/>
        <w:t>Ad para 102.5</w:t>
      </w:r>
    </w:p>
    <w:p w:rsidR="009B7501" w:rsidRPr="00C44116" w:rsidRDefault="00B61A9C" w:rsidP="009B750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The Corell Opinion addressed the position of </w:t>
      </w:r>
      <w:r w:rsidR="00A9066F" w:rsidRPr="00C44116">
        <w:rPr>
          <w:rFonts w:ascii="Times New Roman" w:hAnsi="Times New Roman"/>
          <w:sz w:val="24"/>
          <w:szCs w:val="24"/>
        </w:rPr>
        <w:t xml:space="preserve">contracts for oil reconnaissance and evaluation which did </w:t>
      </w:r>
      <w:r w:rsidR="00A9066F" w:rsidRPr="00C44116">
        <w:rPr>
          <w:rFonts w:ascii="Times New Roman" w:hAnsi="Times New Roman"/>
          <w:sz w:val="24"/>
          <w:szCs w:val="24"/>
          <w:u w:val="single"/>
        </w:rPr>
        <w:t>not</w:t>
      </w:r>
      <w:r w:rsidR="00A9066F" w:rsidRPr="00C44116">
        <w:rPr>
          <w:rFonts w:ascii="Times New Roman" w:hAnsi="Times New Roman"/>
          <w:sz w:val="24"/>
          <w:szCs w:val="24"/>
        </w:rPr>
        <w:t xml:space="preserve"> entail exploitation or the physical removal of the mineral resources, and </w:t>
      </w:r>
      <w:r w:rsidR="00114610" w:rsidRPr="00C44116">
        <w:rPr>
          <w:rFonts w:ascii="Times New Roman" w:hAnsi="Times New Roman"/>
          <w:sz w:val="24"/>
          <w:szCs w:val="24"/>
        </w:rPr>
        <w:t xml:space="preserve">in respect of which </w:t>
      </w:r>
      <w:r w:rsidR="00A9066F" w:rsidRPr="00C44116">
        <w:rPr>
          <w:rFonts w:ascii="Times New Roman" w:hAnsi="Times New Roman"/>
          <w:sz w:val="24"/>
          <w:szCs w:val="24"/>
        </w:rPr>
        <w:t>no benefits had yet accrued.</w:t>
      </w:r>
      <w:r w:rsidR="00A9066F" w:rsidRPr="00C44116">
        <w:rPr>
          <w:rStyle w:val="FootnoteReference"/>
          <w:rFonts w:ascii="Times New Roman" w:hAnsi="Times New Roman"/>
          <w:sz w:val="24"/>
          <w:szCs w:val="24"/>
        </w:rPr>
        <w:footnoteReference w:id="21"/>
      </w:r>
      <w:r w:rsidR="00A9066F" w:rsidRPr="00C44116">
        <w:rPr>
          <w:rFonts w:ascii="Times New Roman" w:hAnsi="Times New Roman"/>
          <w:sz w:val="24"/>
          <w:szCs w:val="24"/>
        </w:rPr>
        <w:t xml:space="preserve">  </w:t>
      </w:r>
      <w:r w:rsidR="00114610" w:rsidRPr="00C44116">
        <w:rPr>
          <w:rFonts w:ascii="Times New Roman" w:hAnsi="Times New Roman"/>
          <w:sz w:val="24"/>
          <w:szCs w:val="24"/>
        </w:rPr>
        <w:t xml:space="preserve"> </w:t>
      </w:r>
      <w:r w:rsidR="00A9066F" w:rsidRPr="00C44116">
        <w:rPr>
          <w:rFonts w:ascii="Times New Roman" w:hAnsi="Times New Roman"/>
          <w:sz w:val="24"/>
          <w:szCs w:val="24"/>
        </w:rPr>
        <w:t xml:space="preserve">These contracts were found to be </w:t>
      </w:r>
      <w:r w:rsidR="001E5E03" w:rsidRPr="00C44116">
        <w:rPr>
          <w:rFonts w:ascii="Times New Roman" w:hAnsi="Times New Roman"/>
          <w:sz w:val="24"/>
          <w:szCs w:val="24"/>
        </w:rPr>
        <w:t>il</w:t>
      </w:r>
      <w:r w:rsidR="00A9066F" w:rsidRPr="00C44116">
        <w:rPr>
          <w:rFonts w:ascii="Times New Roman" w:hAnsi="Times New Roman"/>
          <w:sz w:val="24"/>
          <w:szCs w:val="24"/>
        </w:rPr>
        <w:t>legal if</w:t>
      </w:r>
      <w:r w:rsidR="001E5E03" w:rsidRPr="00C44116">
        <w:rPr>
          <w:rFonts w:ascii="Times New Roman" w:hAnsi="Times New Roman"/>
          <w:sz w:val="24"/>
          <w:szCs w:val="24"/>
        </w:rPr>
        <w:t xml:space="preserve"> further exploration and exploitation were to proceed in disregard of the interests and wishes of the people of Western Sahara.</w:t>
      </w:r>
      <w:r w:rsidR="00A9066F" w:rsidRPr="00C44116">
        <w:rPr>
          <w:rFonts w:ascii="Times New Roman" w:hAnsi="Times New Roman"/>
          <w:sz w:val="24"/>
          <w:szCs w:val="24"/>
        </w:rPr>
        <w:t xml:space="preserve"> </w:t>
      </w:r>
      <w:r w:rsidR="00114610" w:rsidRPr="00C44116">
        <w:rPr>
          <w:rFonts w:ascii="Times New Roman" w:hAnsi="Times New Roman"/>
          <w:sz w:val="24"/>
          <w:szCs w:val="24"/>
        </w:rPr>
        <w:t xml:space="preserve"> </w:t>
      </w:r>
      <w:r w:rsidR="001E5E03" w:rsidRPr="00C44116">
        <w:rPr>
          <w:rFonts w:ascii="Times New Roman" w:hAnsi="Times New Roman"/>
          <w:sz w:val="24"/>
          <w:szCs w:val="24"/>
        </w:rPr>
        <w:t xml:space="preserve">This </w:t>
      </w:r>
      <w:r w:rsidR="00114610" w:rsidRPr="00C44116">
        <w:rPr>
          <w:rFonts w:ascii="Times New Roman" w:hAnsi="Times New Roman"/>
          <w:sz w:val="24"/>
          <w:szCs w:val="24"/>
        </w:rPr>
        <w:t>mandatory “</w:t>
      </w:r>
      <w:r w:rsidR="001E5E03" w:rsidRPr="00C44116">
        <w:rPr>
          <w:rFonts w:ascii="Times New Roman" w:hAnsi="Times New Roman"/>
          <w:i/>
          <w:sz w:val="24"/>
          <w:szCs w:val="24"/>
        </w:rPr>
        <w:t>two-limb test</w:t>
      </w:r>
      <w:r w:rsidR="00114610" w:rsidRPr="00C44116">
        <w:rPr>
          <w:rFonts w:ascii="Times New Roman" w:hAnsi="Times New Roman"/>
          <w:sz w:val="24"/>
          <w:szCs w:val="24"/>
        </w:rPr>
        <w:t>”</w:t>
      </w:r>
      <w:r w:rsidR="001E5E03" w:rsidRPr="00C44116">
        <w:rPr>
          <w:rFonts w:ascii="Times New Roman" w:hAnsi="Times New Roman"/>
          <w:sz w:val="24"/>
          <w:szCs w:val="24"/>
        </w:rPr>
        <w:t xml:space="preserve"> has been confirmed by the statement of the spokesperson for the Secretary-General </w:t>
      </w:r>
      <w:r w:rsidR="00114610" w:rsidRPr="00C44116">
        <w:rPr>
          <w:rFonts w:ascii="Times New Roman" w:hAnsi="Times New Roman"/>
          <w:sz w:val="24"/>
          <w:szCs w:val="24"/>
        </w:rPr>
        <w:t xml:space="preserve">which is </w:t>
      </w:r>
      <w:r w:rsidR="001E5E03" w:rsidRPr="00C44116">
        <w:rPr>
          <w:rFonts w:ascii="Times New Roman" w:hAnsi="Times New Roman"/>
          <w:sz w:val="24"/>
          <w:szCs w:val="24"/>
        </w:rPr>
        <w:t>cited by the respondents.</w:t>
      </w:r>
      <w:r w:rsidR="001E5E03" w:rsidRPr="00C44116">
        <w:rPr>
          <w:rStyle w:val="FootnoteReference"/>
          <w:rFonts w:ascii="Times New Roman" w:hAnsi="Times New Roman"/>
          <w:sz w:val="24"/>
          <w:szCs w:val="24"/>
        </w:rPr>
        <w:footnoteReference w:id="22"/>
      </w:r>
      <w:r w:rsidR="00114610" w:rsidRPr="00C44116">
        <w:rPr>
          <w:rFonts w:ascii="Times New Roman" w:hAnsi="Times New Roman"/>
          <w:sz w:val="24"/>
          <w:szCs w:val="24"/>
        </w:rPr>
        <w:t xml:space="preserve">  There is thus a clear legal standard by which natural resource exploitation in non-self-governing territories is to be measured, the basis for which the respondents appear to accept in their heads of argument.  Again, no difficulty is presented </w:t>
      </w:r>
      <w:r w:rsidR="00BC5CC3" w:rsidRPr="00C44116">
        <w:rPr>
          <w:rFonts w:ascii="Times New Roman" w:hAnsi="Times New Roman"/>
          <w:sz w:val="24"/>
          <w:szCs w:val="24"/>
        </w:rPr>
        <w:t xml:space="preserve">by the respondents factually or legally </w:t>
      </w:r>
      <w:r w:rsidR="00114610" w:rsidRPr="00C44116">
        <w:rPr>
          <w:rFonts w:ascii="Times New Roman" w:hAnsi="Times New Roman"/>
          <w:sz w:val="24"/>
          <w:szCs w:val="24"/>
        </w:rPr>
        <w:t>for the justiciability of the applicants’ proprietary claims.</w:t>
      </w:r>
    </w:p>
    <w:p w:rsidR="00BC5CC3" w:rsidRPr="00C44116" w:rsidRDefault="00BC5CC3" w:rsidP="00BC5CC3">
      <w:pPr>
        <w:spacing w:before="360" w:after="360" w:line="480" w:lineRule="auto"/>
        <w:ind w:left="570"/>
        <w:jc w:val="both"/>
        <w:rPr>
          <w:rFonts w:ascii="Times New Roman" w:hAnsi="Times New Roman"/>
          <w:b/>
          <w:sz w:val="24"/>
          <w:szCs w:val="24"/>
          <w:u w:val="single"/>
        </w:rPr>
      </w:pPr>
      <w:r w:rsidRPr="00C44116">
        <w:rPr>
          <w:rFonts w:ascii="Times New Roman" w:hAnsi="Times New Roman"/>
          <w:b/>
          <w:sz w:val="24"/>
          <w:szCs w:val="24"/>
          <w:u w:val="single"/>
        </w:rPr>
        <w:t>Ad para 102.6</w:t>
      </w:r>
    </w:p>
    <w:p w:rsidR="00114610" w:rsidRPr="00C44116" w:rsidRDefault="00114610" w:rsidP="009B7501">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The </w:t>
      </w:r>
      <w:r w:rsidR="00F3027B" w:rsidRPr="00C44116">
        <w:rPr>
          <w:rFonts w:ascii="Times New Roman" w:hAnsi="Times New Roman"/>
          <w:sz w:val="24"/>
          <w:szCs w:val="24"/>
        </w:rPr>
        <w:t>sixth reason given by the respondents, like the fifth reason, is fatal to the proposition that there are no judicial and manageable standards</w:t>
      </w:r>
      <w:r w:rsidR="00BC5CC3" w:rsidRPr="00C44116">
        <w:rPr>
          <w:rFonts w:ascii="Times New Roman" w:hAnsi="Times New Roman"/>
          <w:sz w:val="24"/>
          <w:szCs w:val="24"/>
        </w:rPr>
        <w:t>.</w:t>
      </w:r>
      <w:r w:rsidR="00F3027B" w:rsidRPr="00C44116">
        <w:rPr>
          <w:rFonts w:ascii="Times New Roman" w:hAnsi="Times New Roman"/>
          <w:sz w:val="24"/>
          <w:szCs w:val="24"/>
        </w:rPr>
        <w:t xml:space="preserve">  If there were no such standards, it could not be suggested </w:t>
      </w:r>
      <w:r w:rsidR="00F85946" w:rsidRPr="00C44116">
        <w:rPr>
          <w:rFonts w:ascii="Times New Roman" w:hAnsi="Times New Roman"/>
          <w:sz w:val="24"/>
          <w:szCs w:val="24"/>
        </w:rPr>
        <w:t xml:space="preserve">in this paragraph </w:t>
      </w:r>
      <w:r w:rsidR="00F3027B" w:rsidRPr="00C44116">
        <w:rPr>
          <w:rFonts w:ascii="Times New Roman" w:hAnsi="Times New Roman"/>
          <w:sz w:val="24"/>
          <w:szCs w:val="24"/>
        </w:rPr>
        <w:t>that “</w:t>
      </w:r>
      <w:r w:rsidR="00F3027B" w:rsidRPr="00C44116">
        <w:rPr>
          <w:rFonts w:ascii="Times New Roman" w:hAnsi="Times New Roman"/>
          <w:i/>
          <w:sz w:val="24"/>
          <w:szCs w:val="24"/>
        </w:rPr>
        <w:t>Phosboucraa’s operations and activities meet the standards…</w:t>
      </w:r>
      <w:r w:rsidR="00F3027B" w:rsidRPr="00C44116">
        <w:rPr>
          <w:rFonts w:ascii="Times New Roman" w:hAnsi="Times New Roman"/>
          <w:sz w:val="24"/>
          <w:szCs w:val="24"/>
        </w:rPr>
        <w:t>”  The undisputed evidence demonstrates that the “</w:t>
      </w:r>
      <w:r w:rsidR="00F3027B" w:rsidRPr="00C44116">
        <w:rPr>
          <w:rFonts w:ascii="Times New Roman" w:hAnsi="Times New Roman"/>
          <w:i/>
          <w:sz w:val="24"/>
          <w:szCs w:val="24"/>
        </w:rPr>
        <w:t>two-limb test</w:t>
      </w:r>
      <w:r w:rsidR="00F3027B" w:rsidRPr="00C44116">
        <w:rPr>
          <w:rFonts w:ascii="Times New Roman" w:hAnsi="Times New Roman"/>
          <w:sz w:val="24"/>
          <w:szCs w:val="24"/>
        </w:rPr>
        <w:t xml:space="preserve">” admitted by the respondents has not been satisfied.  </w:t>
      </w:r>
      <w:r w:rsidR="00634949" w:rsidRPr="00C44116">
        <w:rPr>
          <w:rFonts w:ascii="Times New Roman" w:hAnsi="Times New Roman"/>
          <w:sz w:val="24"/>
          <w:szCs w:val="24"/>
        </w:rPr>
        <w:t xml:space="preserve">(All that the </w:t>
      </w:r>
      <w:r w:rsidR="00634949" w:rsidRPr="00C44116">
        <w:rPr>
          <w:rFonts w:ascii="Times New Roman" w:hAnsi="Times New Roman"/>
          <w:sz w:val="24"/>
          <w:szCs w:val="24"/>
        </w:rPr>
        <w:lastRenderedPageBreak/>
        <w:t>respondents attempt to show is some generalised benefit to the region</w:t>
      </w:r>
      <w:r w:rsidR="00671335" w:rsidRPr="00C44116">
        <w:rPr>
          <w:rFonts w:ascii="Times New Roman" w:hAnsi="Times New Roman"/>
          <w:sz w:val="24"/>
          <w:szCs w:val="24"/>
        </w:rPr>
        <w:t xml:space="preserve"> and the “local people”</w:t>
      </w:r>
      <w:r w:rsidR="00634949" w:rsidRPr="00C44116">
        <w:rPr>
          <w:rFonts w:ascii="Times New Roman" w:hAnsi="Times New Roman"/>
          <w:sz w:val="24"/>
          <w:szCs w:val="24"/>
        </w:rPr>
        <w:t xml:space="preserve">.  This is far </w:t>
      </w:r>
      <w:r w:rsidR="00F85946" w:rsidRPr="00C44116">
        <w:rPr>
          <w:rFonts w:ascii="Times New Roman" w:hAnsi="Times New Roman"/>
          <w:sz w:val="24"/>
          <w:szCs w:val="24"/>
        </w:rPr>
        <w:t xml:space="preserve">short of the </w:t>
      </w:r>
      <w:r w:rsidR="00BB7326" w:rsidRPr="00C44116">
        <w:rPr>
          <w:rFonts w:ascii="Times New Roman" w:hAnsi="Times New Roman"/>
          <w:sz w:val="24"/>
          <w:szCs w:val="24"/>
        </w:rPr>
        <w:t xml:space="preserve">specific </w:t>
      </w:r>
      <w:r w:rsidR="00634949" w:rsidRPr="00C44116">
        <w:rPr>
          <w:rFonts w:ascii="Times New Roman" w:hAnsi="Times New Roman"/>
          <w:sz w:val="24"/>
          <w:szCs w:val="24"/>
        </w:rPr>
        <w:t>evidence of benefit to the Sahara</w:t>
      </w:r>
      <w:r w:rsidR="00671335" w:rsidRPr="00C44116">
        <w:rPr>
          <w:rFonts w:ascii="Times New Roman" w:hAnsi="Times New Roman"/>
          <w:sz w:val="24"/>
          <w:szCs w:val="24"/>
        </w:rPr>
        <w:t>wi people</w:t>
      </w:r>
      <w:r w:rsidR="00634949" w:rsidRPr="00C44116">
        <w:rPr>
          <w:rFonts w:ascii="Times New Roman" w:hAnsi="Times New Roman"/>
          <w:sz w:val="24"/>
          <w:szCs w:val="24"/>
        </w:rPr>
        <w:t xml:space="preserve">, most </w:t>
      </w:r>
      <w:r w:rsidR="00671335" w:rsidRPr="00C44116">
        <w:rPr>
          <w:rFonts w:ascii="Times New Roman" w:hAnsi="Times New Roman"/>
          <w:sz w:val="24"/>
          <w:szCs w:val="24"/>
        </w:rPr>
        <w:t>of whom live outside the region</w:t>
      </w:r>
      <w:r w:rsidR="00BB7326" w:rsidRPr="00C44116">
        <w:rPr>
          <w:rFonts w:ascii="Times New Roman" w:hAnsi="Times New Roman"/>
          <w:sz w:val="24"/>
          <w:szCs w:val="24"/>
        </w:rPr>
        <w:t>, from the sale of phosphate</w:t>
      </w:r>
      <w:r w:rsidR="00671335" w:rsidRPr="00C44116">
        <w:rPr>
          <w:rFonts w:ascii="Times New Roman" w:hAnsi="Times New Roman"/>
          <w:sz w:val="24"/>
          <w:szCs w:val="24"/>
        </w:rPr>
        <w:t xml:space="preserve">.  There is </w:t>
      </w:r>
      <w:r w:rsidR="00BB7326" w:rsidRPr="00C44116">
        <w:rPr>
          <w:rFonts w:ascii="Times New Roman" w:hAnsi="Times New Roman"/>
          <w:sz w:val="24"/>
          <w:szCs w:val="24"/>
        </w:rPr>
        <w:t xml:space="preserve">also </w:t>
      </w:r>
      <w:r w:rsidR="00671335" w:rsidRPr="00C44116">
        <w:rPr>
          <w:rFonts w:ascii="Times New Roman" w:hAnsi="Times New Roman"/>
          <w:sz w:val="24"/>
          <w:szCs w:val="24"/>
        </w:rPr>
        <w:t>a conspicuous absence of any attempt to show consultation with the Saharawi people or their representatives.)</w:t>
      </w:r>
      <w:r w:rsidR="00634949" w:rsidRPr="00C44116">
        <w:rPr>
          <w:rFonts w:ascii="Times New Roman" w:hAnsi="Times New Roman"/>
          <w:sz w:val="24"/>
          <w:szCs w:val="24"/>
        </w:rPr>
        <w:t xml:space="preserve"> </w:t>
      </w:r>
      <w:r w:rsidR="00F3027B" w:rsidRPr="00C44116">
        <w:rPr>
          <w:rFonts w:ascii="Times New Roman" w:hAnsi="Times New Roman"/>
          <w:sz w:val="24"/>
          <w:szCs w:val="24"/>
        </w:rPr>
        <w:t xml:space="preserve">Nonetheless, this is an issue which the trial Court will be able to resolve, one way or the other, after it has heard the evidence. </w:t>
      </w:r>
    </w:p>
    <w:p w:rsidR="00F25DD3" w:rsidRPr="00C44116" w:rsidRDefault="00F25DD3" w:rsidP="00A25DAF">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General Assembly Resolution 71/103,</w:t>
      </w:r>
      <w:r w:rsidRPr="00C44116">
        <w:rPr>
          <w:rStyle w:val="FootnoteReference"/>
          <w:rFonts w:ascii="Times New Roman" w:hAnsi="Times New Roman"/>
          <w:sz w:val="24"/>
          <w:szCs w:val="24"/>
        </w:rPr>
        <w:footnoteReference w:id="23"/>
      </w:r>
      <w:r w:rsidRPr="00C44116">
        <w:rPr>
          <w:rFonts w:ascii="Times New Roman" w:hAnsi="Times New Roman"/>
          <w:sz w:val="24"/>
          <w:szCs w:val="24"/>
        </w:rPr>
        <w:t xml:space="preserve"> relied upon by the respondents (see footnotes 66 and 74), supports the applicants.  For example, it reaffirms the right of peoples of non-self-governing territories to dispose of natural resources in their best interest (para 1) and it also reaffirms the legitimate rights of the people over their natural resources (para 3)</w:t>
      </w:r>
      <w:r w:rsidR="00634949" w:rsidRPr="00C44116">
        <w:rPr>
          <w:rFonts w:ascii="Times New Roman" w:hAnsi="Times New Roman"/>
          <w:sz w:val="24"/>
          <w:szCs w:val="24"/>
        </w:rPr>
        <w:t xml:space="preserve"> described also as an “inalienable right” (para 9)</w:t>
      </w:r>
      <w:r w:rsidRPr="00C44116">
        <w:rPr>
          <w:rFonts w:ascii="Times New Roman" w:hAnsi="Times New Roman"/>
          <w:sz w:val="24"/>
          <w:szCs w:val="24"/>
        </w:rPr>
        <w:t xml:space="preserve">. </w:t>
      </w:r>
      <w:r w:rsidR="00F85946" w:rsidRPr="00C44116">
        <w:rPr>
          <w:rFonts w:ascii="Times New Roman" w:hAnsi="Times New Roman"/>
          <w:sz w:val="24"/>
          <w:szCs w:val="24"/>
        </w:rPr>
        <w:t xml:space="preserve"> </w:t>
      </w:r>
      <w:r w:rsidRPr="00C44116">
        <w:rPr>
          <w:rFonts w:ascii="Times New Roman" w:hAnsi="Times New Roman"/>
          <w:sz w:val="24"/>
          <w:szCs w:val="24"/>
        </w:rPr>
        <w:t>Of particular relevance to this application is the invitation to all governments and organizations of the UN system to take all possible measures to ensure that the permanent sovereignty of the peoples of the non-self-governing territories</w:t>
      </w:r>
      <w:r w:rsidR="00634949" w:rsidRPr="00C44116">
        <w:rPr>
          <w:rFonts w:ascii="Times New Roman" w:hAnsi="Times New Roman"/>
          <w:sz w:val="24"/>
          <w:szCs w:val="24"/>
        </w:rPr>
        <w:t xml:space="preserve"> is fully respected and safeguarded (para 8).  The contrived and self-serving construction suggested by the respondents in footnotes 66 and 74</w:t>
      </w:r>
      <w:r w:rsidR="007C1E96" w:rsidRPr="00C44116">
        <w:rPr>
          <w:rFonts w:ascii="Times New Roman" w:hAnsi="Times New Roman"/>
          <w:sz w:val="24"/>
          <w:szCs w:val="24"/>
        </w:rPr>
        <w:t>, and carried through to paragraph 101.14,</w:t>
      </w:r>
      <w:r w:rsidR="00634949" w:rsidRPr="00C44116">
        <w:rPr>
          <w:rFonts w:ascii="Times New Roman" w:hAnsi="Times New Roman"/>
          <w:sz w:val="24"/>
          <w:szCs w:val="24"/>
        </w:rPr>
        <w:t xml:space="preserve"> is not supported by the text of the resolution.</w:t>
      </w:r>
      <w:r w:rsidR="007C1E96" w:rsidRPr="00C44116">
        <w:rPr>
          <w:rFonts w:ascii="Times New Roman" w:hAnsi="Times New Roman"/>
          <w:sz w:val="24"/>
          <w:szCs w:val="24"/>
        </w:rPr>
        <w:t xml:space="preserve">  Even accepting the criteria described in paragraph 101.14 of the heads, the evidence shows that the exploitation of the phosphate at Bou Craa is to the detriment of the Saharawi people.</w:t>
      </w:r>
    </w:p>
    <w:p w:rsidR="007C1E96" w:rsidRPr="00C44116" w:rsidRDefault="007C1E96" w:rsidP="00A25DAF">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It is not surprising that the respondents do not meet the requirements for exploiting the natural resources of a non-self-governing territory, having regard </w:t>
      </w:r>
      <w:r w:rsidRPr="00C44116">
        <w:rPr>
          <w:rFonts w:ascii="Times New Roman" w:hAnsi="Times New Roman"/>
          <w:sz w:val="24"/>
          <w:szCs w:val="24"/>
        </w:rPr>
        <w:lastRenderedPageBreak/>
        <w:t xml:space="preserve">to Morocco’s position that Western Sahara is part of its sovereign territory, and therefore is not a self-governing-territory, and therefore there is no obligation to meet the requirements. </w:t>
      </w:r>
    </w:p>
    <w:p w:rsidR="00A25DAF" w:rsidRPr="00C44116" w:rsidRDefault="00A25DAF" w:rsidP="00A25DAF">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At paragraph</w:t>
      </w:r>
      <w:r w:rsidR="00671335" w:rsidRPr="00C44116">
        <w:rPr>
          <w:rFonts w:ascii="Times New Roman" w:hAnsi="Times New Roman"/>
          <w:sz w:val="24"/>
          <w:szCs w:val="24"/>
        </w:rPr>
        <w:t>s</w:t>
      </w:r>
      <w:r w:rsidRPr="00C44116">
        <w:rPr>
          <w:rFonts w:ascii="Times New Roman" w:hAnsi="Times New Roman"/>
          <w:sz w:val="24"/>
          <w:szCs w:val="24"/>
        </w:rPr>
        <w:t xml:space="preserve"> 14 </w:t>
      </w:r>
      <w:r w:rsidR="00671335" w:rsidRPr="00C44116">
        <w:rPr>
          <w:rFonts w:ascii="Times New Roman" w:hAnsi="Times New Roman"/>
          <w:sz w:val="24"/>
          <w:szCs w:val="24"/>
        </w:rPr>
        <w:t xml:space="preserve">and 82 </w:t>
      </w:r>
      <w:r w:rsidRPr="00C44116">
        <w:rPr>
          <w:rFonts w:ascii="Times New Roman" w:hAnsi="Times New Roman"/>
          <w:sz w:val="24"/>
          <w:szCs w:val="24"/>
        </w:rPr>
        <w:t>of the heads, the respondents raise a number of rhetorical questions which have no or little connection with their pleaded case.  Indeed, on the pleadings, the applicants’ claim to ownership is not disputed.  The call for the applicants to answer such questions in their favour rings hollow.</w:t>
      </w:r>
    </w:p>
    <w:p w:rsidR="00A25DAF" w:rsidRPr="00C44116" w:rsidRDefault="00BE414C"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This case is certainly not so complicated that it is beyond the competence of this Court.</w:t>
      </w:r>
      <w:r w:rsidR="00A25DAF" w:rsidRPr="00C44116">
        <w:rPr>
          <w:rFonts w:ascii="Times New Roman" w:hAnsi="Times New Roman"/>
          <w:sz w:val="24"/>
          <w:szCs w:val="24"/>
        </w:rPr>
        <w:t xml:space="preserve">  Nor does the case raise questions which are “</w:t>
      </w:r>
      <w:r w:rsidR="00A25DAF" w:rsidRPr="00C44116">
        <w:rPr>
          <w:rFonts w:ascii="Times New Roman" w:hAnsi="Times New Roman"/>
          <w:i/>
          <w:sz w:val="24"/>
          <w:szCs w:val="24"/>
        </w:rPr>
        <w:t>political, internationalised and polycentric</w:t>
      </w:r>
      <w:r w:rsidR="00A25DAF" w:rsidRPr="00C44116">
        <w:rPr>
          <w:rFonts w:ascii="Times New Roman" w:hAnsi="Times New Roman"/>
          <w:sz w:val="24"/>
          <w:szCs w:val="24"/>
        </w:rPr>
        <w:t>” (see para</w:t>
      </w:r>
      <w:r w:rsidRPr="00C44116">
        <w:rPr>
          <w:rFonts w:ascii="Times New Roman" w:hAnsi="Times New Roman"/>
          <w:sz w:val="24"/>
          <w:szCs w:val="24"/>
        </w:rPr>
        <w:t xml:space="preserve"> </w:t>
      </w:r>
      <w:r w:rsidR="00A25DAF" w:rsidRPr="00C44116">
        <w:rPr>
          <w:rFonts w:ascii="Times New Roman" w:hAnsi="Times New Roman"/>
          <w:sz w:val="24"/>
          <w:szCs w:val="24"/>
        </w:rPr>
        <w:t>19 of the respondents’ heads).</w:t>
      </w:r>
      <w:r w:rsidRPr="00C44116">
        <w:rPr>
          <w:rFonts w:ascii="Times New Roman" w:hAnsi="Times New Roman"/>
          <w:sz w:val="24"/>
          <w:szCs w:val="24"/>
        </w:rPr>
        <w:t xml:space="preserve"> </w:t>
      </w:r>
    </w:p>
    <w:p w:rsidR="0002035F" w:rsidRPr="00C44116" w:rsidRDefault="0002035F"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In paragraphs 26-27 of the heads, it is contended that there is no doubt as to what the legal issues in dispute between the parties are.  This contention is incorrect.  All that this Court knows at this early stage is what the applicants’ </w:t>
      </w:r>
      <w:r w:rsidRPr="00C44116">
        <w:rPr>
          <w:rFonts w:ascii="Times New Roman" w:hAnsi="Times New Roman"/>
          <w:i/>
          <w:sz w:val="24"/>
          <w:szCs w:val="24"/>
        </w:rPr>
        <w:t xml:space="preserve">prima facie </w:t>
      </w:r>
      <w:r w:rsidRPr="00C44116">
        <w:rPr>
          <w:rFonts w:ascii="Times New Roman" w:hAnsi="Times New Roman"/>
          <w:sz w:val="24"/>
          <w:szCs w:val="24"/>
        </w:rPr>
        <w:t xml:space="preserve">case is.  To the extent that the answering affidavit and the respondents’ heads shed some light on their stance, it is </w:t>
      </w:r>
      <w:r w:rsidR="00F85946" w:rsidRPr="00C44116">
        <w:rPr>
          <w:rFonts w:ascii="Times New Roman" w:hAnsi="Times New Roman"/>
          <w:sz w:val="24"/>
          <w:szCs w:val="24"/>
        </w:rPr>
        <w:t xml:space="preserve">unfortunately </w:t>
      </w:r>
      <w:r w:rsidRPr="00C44116">
        <w:rPr>
          <w:rFonts w:ascii="Times New Roman" w:hAnsi="Times New Roman"/>
          <w:sz w:val="24"/>
          <w:szCs w:val="24"/>
        </w:rPr>
        <w:t xml:space="preserve">contradictory, and this Court is left uncertain as to what the nature of the respondents’ defence, if any, will be.  It is only once particulars of claim have been delivered, and the respondents have pleaded thereto, that the issues will be known.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Were this </w:t>
      </w:r>
      <w:r w:rsidR="00F3027B" w:rsidRPr="00C44116">
        <w:rPr>
          <w:rFonts w:ascii="Times New Roman" w:hAnsi="Times New Roman"/>
          <w:sz w:val="24"/>
          <w:szCs w:val="24"/>
        </w:rPr>
        <w:t>C</w:t>
      </w:r>
      <w:r w:rsidRPr="00C44116">
        <w:rPr>
          <w:rFonts w:ascii="Times New Roman" w:hAnsi="Times New Roman"/>
          <w:sz w:val="24"/>
          <w:szCs w:val="24"/>
        </w:rPr>
        <w:t xml:space="preserve">ourt to uphold </w:t>
      </w:r>
      <w:r w:rsidR="00F3027B" w:rsidRPr="00C44116">
        <w:rPr>
          <w:rFonts w:ascii="Times New Roman" w:hAnsi="Times New Roman"/>
          <w:sz w:val="24"/>
          <w:szCs w:val="24"/>
        </w:rPr>
        <w:t>the a</w:t>
      </w:r>
      <w:r w:rsidRPr="00C44116">
        <w:rPr>
          <w:rFonts w:ascii="Times New Roman" w:hAnsi="Times New Roman"/>
          <w:sz w:val="24"/>
          <w:szCs w:val="24"/>
        </w:rPr>
        <w:t xml:space="preserve">ct of state ouster, </w:t>
      </w:r>
      <w:r w:rsidR="00F3027B" w:rsidRPr="00C44116">
        <w:rPr>
          <w:rFonts w:ascii="Times New Roman" w:hAnsi="Times New Roman"/>
          <w:sz w:val="24"/>
          <w:szCs w:val="24"/>
        </w:rPr>
        <w:t xml:space="preserve">it </w:t>
      </w:r>
      <w:r w:rsidRPr="00C44116">
        <w:rPr>
          <w:rFonts w:ascii="Times New Roman" w:hAnsi="Times New Roman"/>
          <w:sz w:val="24"/>
          <w:szCs w:val="24"/>
        </w:rPr>
        <w:t>would be the first court that would have done so</w:t>
      </w:r>
      <w:r w:rsidR="006E161B" w:rsidRPr="00C44116">
        <w:rPr>
          <w:rStyle w:val="FootnoteReference"/>
          <w:rFonts w:ascii="Times New Roman" w:hAnsi="Times New Roman"/>
          <w:sz w:val="24"/>
          <w:szCs w:val="24"/>
        </w:rPr>
        <w:footnoteReference w:id="24"/>
      </w:r>
      <w:r w:rsidRPr="00C44116">
        <w:rPr>
          <w:rFonts w:ascii="Times New Roman" w:hAnsi="Times New Roman"/>
          <w:sz w:val="24"/>
          <w:szCs w:val="24"/>
        </w:rPr>
        <w:t xml:space="preserve"> and would be doing so without the benefit of full set of </w:t>
      </w:r>
      <w:r w:rsidRPr="00C44116">
        <w:rPr>
          <w:rFonts w:ascii="Times New Roman" w:hAnsi="Times New Roman"/>
          <w:sz w:val="24"/>
          <w:szCs w:val="24"/>
        </w:rPr>
        <w:lastRenderedPageBreak/>
        <w:t xml:space="preserve">pleadings in the vindicatory claim. </w:t>
      </w:r>
      <w:r w:rsidR="00F3027B" w:rsidRPr="00C44116">
        <w:rPr>
          <w:rFonts w:ascii="Times New Roman" w:hAnsi="Times New Roman"/>
          <w:sz w:val="24"/>
          <w:szCs w:val="24"/>
        </w:rPr>
        <w:t xml:space="preserve"> </w:t>
      </w:r>
      <w:r w:rsidRPr="00C44116">
        <w:rPr>
          <w:rFonts w:ascii="Times New Roman" w:hAnsi="Times New Roman"/>
          <w:sz w:val="24"/>
          <w:szCs w:val="24"/>
        </w:rPr>
        <w:t xml:space="preserve">In any event, even if the </w:t>
      </w:r>
      <w:r w:rsidR="00F3027B" w:rsidRPr="00C44116">
        <w:rPr>
          <w:rFonts w:ascii="Times New Roman" w:hAnsi="Times New Roman"/>
          <w:sz w:val="24"/>
          <w:szCs w:val="24"/>
        </w:rPr>
        <w:t>C</w:t>
      </w:r>
      <w:r w:rsidRPr="00C44116">
        <w:rPr>
          <w:rFonts w:ascii="Times New Roman" w:hAnsi="Times New Roman"/>
          <w:sz w:val="24"/>
          <w:szCs w:val="24"/>
        </w:rPr>
        <w:t xml:space="preserve">ourt </w:t>
      </w:r>
      <w:r w:rsidR="00F3027B" w:rsidRPr="00C44116">
        <w:rPr>
          <w:rFonts w:ascii="Times New Roman" w:hAnsi="Times New Roman"/>
          <w:sz w:val="24"/>
          <w:szCs w:val="24"/>
        </w:rPr>
        <w:t xml:space="preserve">decides </w:t>
      </w:r>
      <w:r w:rsidRPr="00C44116">
        <w:rPr>
          <w:rFonts w:ascii="Times New Roman" w:hAnsi="Times New Roman"/>
          <w:sz w:val="24"/>
          <w:szCs w:val="24"/>
        </w:rPr>
        <w:t xml:space="preserve">not </w:t>
      </w:r>
      <w:r w:rsidR="00F3027B" w:rsidRPr="00C44116">
        <w:rPr>
          <w:rFonts w:ascii="Times New Roman" w:hAnsi="Times New Roman"/>
          <w:sz w:val="24"/>
          <w:szCs w:val="24"/>
        </w:rPr>
        <w:t xml:space="preserve">to </w:t>
      </w:r>
      <w:r w:rsidRPr="00C44116">
        <w:rPr>
          <w:rFonts w:ascii="Times New Roman" w:hAnsi="Times New Roman"/>
          <w:sz w:val="24"/>
          <w:szCs w:val="24"/>
        </w:rPr>
        <w:t xml:space="preserve">apply </w:t>
      </w:r>
      <w:r w:rsidR="00F3027B" w:rsidRPr="00C44116">
        <w:rPr>
          <w:rFonts w:ascii="Times New Roman" w:hAnsi="Times New Roman"/>
          <w:sz w:val="24"/>
          <w:szCs w:val="24"/>
        </w:rPr>
        <w:t xml:space="preserve">the </w:t>
      </w:r>
      <w:r w:rsidRPr="00C44116">
        <w:rPr>
          <w:rFonts w:ascii="Times New Roman" w:hAnsi="Times New Roman"/>
          <w:sz w:val="24"/>
          <w:szCs w:val="24"/>
        </w:rPr>
        <w:t>act of state</w:t>
      </w:r>
      <w:r w:rsidR="00F3027B" w:rsidRPr="00C44116">
        <w:rPr>
          <w:rFonts w:ascii="Times New Roman" w:hAnsi="Times New Roman"/>
          <w:sz w:val="24"/>
          <w:szCs w:val="24"/>
        </w:rPr>
        <w:t xml:space="preserve"> doctrine</w:t>
      </w:r>
      <w:r w:rsidR="00F85946" w:rsidRPr="00C44116">
        <w:rPr>
          <w:rFonts w:ascii="Times New Roman" w:hAnsi="Times New Roman"/>
          <w:sz w:val="24"/>
          <w:szCs w:val="24"/>
        </w:rPr>
        <w:t xml:space="preserve"> at this stage</w:t>
      </w:r>
      <w:r w:rsidRPr="00C44116">
        <w:rPr>
          <w:rFonts w:ascii="Times New Roman" w:hAnsi="Times New Roman"/>
          <w:sz w:val="24"/>
          <w:szCs w:val="24"/>
        </w:rPr>
        <w:t xml:space="preserve">, it would not </w:t>
      </w:r>
      <w:r w:rsidR="00F85946" w:rsidRPr="00C44116">
        <w:rPr>
          <w:rFonts w:ascii="Times New Roman" w:hAnsi="Times New Roman"/>
          <w:sz w:val="24"/>
          <w:szCs w:val="24"/>
        </w:rPr>
        <w:t xml:space="preserve">necessarily </w:t>
      </w:r>
      <w:r w:rsidRPr="00C44116">
        <w:rPr>
          <w:rFonts w:ascii="Times New Roman" w:hAnsi="Times New Roman"/>
          <w:sz w:val="24"/>
          <w:szCs w:val="24"/>
        </w:rPr>
        <w:t xml:space="preserve">preclude the trial court from doing so.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In short</w:t>
      </w:r>
      <w:r w:rsidR="00F3027B" w:rsidRPr="00C44116">
        <w:rPr>
          <w:rFonts w:ascii="Times New Roman" w:hAnsi="Times New Roman"/>
          <w:sz w:val="24"/>
          <w:szCs w:val="24"/>
        </w:rPr>
        <w:t>, the</w:t>
      </w:r>
      <w:r w:rsidRPr="00C44116">
        <w:rPr>
          <w:rFonts w:ascii="Times New Roman" w:hAnsi="Times New Roman"/>
          <w:sz w:val="24"/>
          <w:szCs w:val="24"/>
        </w:rPr>
        <w:t xml:space="preserve"> interests of justice demand </w:t>
      </w:r>
      <w:r w:rsidR="00F3027B" w:rsidRPr="00C44116">
        <w:rPr>
          <w:rFonts w:ascii="Times New Roman" w:hAnsi="Times New Roman"/>
          <w:sz w:val="24"/>
          <w:szCs w:val="24"/>
        </w:rPr>
        <w:t xml:space="preserve">that </w:t>
      </w:r>
      <w:r w:rsidRPr="00C44116">
        <w:rPr>
          <w:rFonts w:ascii="Times New Roman" w:hAnsi="Times New Roman"/>
          <w:sz w:val="24"/>
          <w:szCs w:val="24"/>
        </w:rPr>
        <w:t xml:space="preserve">this </w:t>
      </w:r>
      <w:r w:rsidR="00F3027B" w:rsidRPr="00C44116">
        <w:rPr>
          <w:rFonts w:ascii="Times New Roman" w:hAnsi="Times New Roman"/>
          <w:sz w:val="24"/>
          <w:szCs w:val="24"/>
        </w:rPr>
        <w:t>C</w:t>
      </w:r>
      <w:r w:rsidRPr="00C44116">
        <w:rPr>
          <w:rFonts w:ascii="Times New Roman" w:hAnsi="Times New Roman"/>
          <w:sz w:val="24"/>
          <w:szCs w:val="24"/>
        </w:rPr>
        <w:t>ourt adjudicate the interim interdict on the basis of the pleaded facts.</w:t>
      </w:r>
    </w:p>
    <w:p w:rsidR="00780456" w:rsidRPr="00C44116" w:rsidRDefault="00F3027B" w:rsidP="00780456">
      <w:pPr>
        <w:spacing w:before="360" w:after="360" w:line="480" w:lineRule="auto"/>
        <w:jc w:val="both"/>
        <w:rPr>
          <w:rFonts w:ascii="Times New Roman" w:hAnsi="Times New Roman"/>
          <w:b/>
          <w:sz w:val="24"/>
          <w:szCs w:val="24"/>
        </w:rPr>
      </w:pPr>
      <w:r w:rsidRPr="00C44116">
        <w:rPr>
          <w:rFonts w:ascii="Times New Roman" w:hAnsi="Times New Roman"/>
          <w:b/>
          <w:sz w:val="24"/>
          <w:szCs w:val="24"/>
          <w:u w:val="single"/>
        </w:rPr>
        <w:t>STATE IMMUNITY</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We turn now to deal with the belated state immunity defence.</w:t>
      </w:r>
    </w:p>
    <w:p w:rsidR="00964E79" w:rsidRPr="00C44116" w:rsidRDefault="00780456" w:rsidP="00964E79">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 manner in which the respondents pleaded state immunity</w:t>
      </w:r>
      <w:r w:rsidR="00F3027B" w:rsidRPr="00C44116">
        <w:rPr>
          <w:rStyle w:val="FootnoteReference"/>
          <w:rFonts w:ascii="Times New Roman" w:hAnsi="Times New Roman"/>
          <w:sz w:val="24"/>
          <w:szCs w:val="24"/>
        </w:rPr>
        <w:footnoteReference w:id="25"/>
      </w:r>
      <w:r w:rsidRPr="00C44116">
        <w:rPr>
          <w:rFonts w:ascii="Times New Roman" w:hAnsi="Times New Roman"/>
          <w:sz w:val="24"/>
          <w:szCs w:val="24"/>
        </w:rPr>
        <w:t xml:space="preserve"> indicates that they </w:t>
      </w:r>
      <w:r w:rsidR="00F85946" w:rsidRPr="00C44116">
        <w:rPr>
          <w:rFonts w:ascii="Times New Roman" w:hAnsi="Times New Roman"/>
          <w:sz w:val="24"/>
          <w:szCs w:val="24"/>
        </w:rPr>
        <w:t xml:space="preserve">correctly </w:t>
      </w:r>
      <w:r w:rsidRPr="00C44116">
        <w:rPr>
          <w:rFonts w:ascii="Times New Roman" w:hAnsi="Times New Roman"/>
          <w:sz w:val="24"/>
          <w:szCs w:val="24"/>
        </w:rPr>
        <w:t xml:space="preserve">perceived that it was part and parcel of an act of state / judicial restraint paradigm. </w:t>
      </w:r>
      <w:r w:rsidR="00F3027B" w:rsidRPr="00C44116">
        <w:rPr>
          <w:rFonts w:ascii="Times New Roman" w:hAnsi="Times New Roman"/>
          <w:sz w:val="24"/>
          <w:szCs w:val="24"/>
        </w:rPr>
        <w:t xml:space="preserve"> </w:t>
      </w:r>
      <w:r w:rsidRPr="00C44116">
        <w:rPr>
          <w:rFonts w:ascii="Times New Roman" w:hAnsi="Times New Roman"/>
          <w:sz w:val="24"/>
          <w:szCs w:val="24"/>
        </w:rPr>
        <w:t>It was not a self-standing defence in the manner contemplated by customary international law and the F</w:t>
      </w:r>
      <w:r w:rsidR="00F3027B" w:rsidRPr="00C44116">
        <w:rPr>
          <w:rFonts w:ascii="Times New Roman" w:hAnsi="Times New Roman"/>
          <w:sz w:val="24"/>
          <w:szCs w:val="24"/>
        </w:rPr>
        <w:t xml:space="preserve">oreign </w:t>
      </w:r>
      <w:r w:rsidRPr="00C44116">
        <w:rPr>
          <w:rFonts w:ascii="Times New Roman" w:hAnsi="Times New Roman"/>
          <w:sz w:val="24"/>
          <w:szCs w:val="24"/>
        </w:rPr>
        <w:t>S</w:t>
      </w:r>
      <w:r w:rsidR="00F3027B" w:rsidRPr="00C44116">
        <w:rPr>
          <w:rFonts w:ascii="Times New Roman" w:hAnsi="Times New Roman"/>
          <w:sz w:val="24"/>
          <w:szCs w:val="24"/>
        </w:rPr>
        <w:t xml:space="preserve">tate </w:t>
      </w:r>
      <w:r w:rsidRPr="00C44116">
        <w:rPr>
          <w:rFonts w:ascii="Times New Roman" w:hAnsi="Times New Roman"/>
          <w:sz w:val="24"/>
          <w:szCs w:val="24"/>
        </w:rPr>
        <w:t>I</w:t>
      </w:r>
      <w:r w:rsidR="00F3027B" w:rsidRPr="00C44116">
        <w:rPr>
          <w:rFonts w:ascii="Times New Roman" w:hAnsi="Times New Roman"/>
          <w:sz w:val="24"/>
          <w:szCs w:val="24"/>
        </w:rPr>
        <w:t xml:space="preserve">mmunities </w:t>
      </w:r>
      <w:r w:rsidRPr="00C44116">
        <w:rPr>
          <w:rFonts w:ascii="Times New Roman" w:hAnsi="Times New Roman"/>
          <w:sz w:val="24"/>
          <w:szCs w:val="24"/>
        </w:rPr>
        <w:t>A</w:t>
      </w:r>
      <w:r w:rsidR="00F3027B" w:rsidRPr="00C44116">
        <w:rPr>
          <w:rFonts w:ascii="Times New Roman" w:hAnsi="Times New Roman"/>
          <w:sz w:val="24"/>
          <w:szCs w:val="24"/>
        </w:rPr>
        <w:t>ct 87 of 1981 (</w:t>
      </w:r>
      <w:r w:rsidR="00F3027B" w:rsidRPr="00C44116">
        <w:rPr>
          <w:rFonts w:ascii="Times New Roman" w:hAnsi="Times New Roman"/>
          <w:b/>
          <w:sz w:val="24"/>
          <w:szCs w:val="24"/>
        </w:rPr>
        <w:t>“the FSIA”</w:t>
      </w:r>
      <w:r w:rsidR="00F3027B" w:rsidRPr="00C44116">
        <w:rPr>
          <w:rFonts w:ascii="Times New Roman" w:hAnsi="Times New Roman"/>
          <w:sz w:val="24"/>
          <w:szCs w:val="24"/>
        </w:rPr>
        <w:t>)</w:t>
      </w:r>
      <w:r w:rsidRPr="00C44116">
        <w:rPr>
          <w:rFonts w:ascii="Times New Roman" w:hAnsi="Times New Roman"/>
          <w:sz w:val="24"/>
          <w:szCs w:val="24"/>
        </w:rPr>
        <w:t xml:space="preserve">. </w:t>
      </w:r>
      <w:r w:rsidR="00F3027B" w:rsidRPr="00C44116">
        <w:rPr>
          <w:rFonts w:ascii="Times New Roman" w:hAnsi="Times New Roman"/>
          <w:sz w:val="24"/>
          <w:szCs w:val="24"/>
        </w:rPr>
        <w:t xml:space="preserve"> </w:t>
      </w:r>
      <w:r w:rsidRPr="00C44116">
        <w:rPr>
          <w:rFonts w:ascii="Times New Roman" w:hAnsi="Times New Roman"/>
          <w:sz w:val="24"/>
          <w:szCs w:val="24"/>
        </w:rPr>
        <w:t xml:space="preserve">In doing so they were well-advised. </w:t>
      </w:r>
      <w:r w:rsidR="00964E79" w:rsidRPr="00C44116">
        <w:rPr>
          <w:rFonts w:ascii="Times New Roman" w:hAnsi="Times New Roman"/>
          <w:sz w:val="24"/>
          <w:szCs w:val="24"/>
        </w:rPr>
        <w:t xml:space="preserve"> </w:t>
      </w:r>
      <w:r w:rsidRPr="00C44116">
        <w:rPr>
          <w:rFonts w:ascii="Times New Roman" w:hAnsi="Times New Roman"/>
          <w:sz w:val="24"/>
          <w:szCs w:val="24"/>
        </w:rPr>
        <w:t xml:space="preserve">The state immunity defence </w:t>
      </w:r>
      <w:r w:rsidR="00F85946" w:rsidRPr="00C44116">
        <w:rPr>
          <w:rFonts w:ascii="Times New Roman" w:hAnsi="Times New Roman"/>
          <w:sz w:val="24"/>
          <w:szCs w:val="24"/>
        </w:rPr>
        <w:t xml:space="preserve">has no merit </w:t>
      </w:r>
      <w:r w:rsidRPr="00C44116">
        <w:rPr>
          <w:rFonts w:ascii="Times New Roman" w:hAnsi="Times New Roman"/>
          <w:sz w:val="24"/>
          <w:szCs w:val="24"/>
        </w:rPr>
        <w:t>both for the purposes of customary international law and the FSIA.</w:t>
      </w:r>
    </w:p>
    <w:p w:rsidR="00964E79" w:rsidRPr="00C44116" w:rsidRDefault="00780456" w:rsidP="00964E79">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w:t>
      </w:r>
      <w:r w:rsidR="00964E79" w:rsidRPr="00C44116">
        <w:rPr>
          <w:rFonts w:ascii="Times New Roman" w:hAnsi="Times New Roman"/>
          <w:sz w:val="24"/>
          <w:szCs w:val="24"/>
        </w:rPr>
        <w:t xml:space="preserve">FSIA </w:t>
      </w:r>
      <w:r w:rsidRPr="00C44116">
        <w:rPr>
          <w:rFonts w:ascii="Times New Roman" w:hAnsi="Times New Roman"/>
          <w:sz w:val="24"/>
          <w:szCs w:val="24"/>
        </w:rPr>
        <w:t>provides immunity to a foreign state.</w:t>
      </w:r>
      <w:r w:rsidR="00964E79" w:rsidRPr="00C44116">
        <w:rPr>
          <w:rFonts w:ascii="Times New Roman" w:hAnsi="Times New Roman"/>
          <w:sz w:val="24"/>
          <w:szCs w:val="24"/>
        </w:rPr>
        <w:t xml:space="preserve"> </w:t>
      </w:r>
      <w:r w:rsidRPr="00C44116">
        <w:rPr>
          <w:rFonts w:ascii="Times New Roman" w:hAnsi="Times New Roman"/>
          <w:sz w:val="24"/>
          <w:szCs w:val="24"/>
        </w:rPr>
        <w:t xml:space="preserve"> A foreign state is defined as not including </w:t>
      </w:r>
      <w:r w:rsidR="00964E79" w:rsidRPr="00C44116">
        <w:rPr>
          <w:rFonts w:ascii="Times New Roman" w:hAnsi="Times New Roman"/>
          <w:sz w:val="24"/>
          <w:szCs w:val="24"/>
        </w:rPr>
        <w:t xml:space="preserve">any entity which is distinct from the executive organs of the government of that foreign state and capable of suing or being sued.  The parties are </w:t>
      </w:r>
      <w:r w:rsidR="00964E79" w:rsidRPr="00C44116">
        <w:rPr>
          <w:rFonts w:ascii="Times New Roman" w:hAnsi="Times New Roman"/>
          <w:i/>
          <w:sz w:val="24"/>
          <w:szCs w:val="24"/>
        </w:rPr>
        <w:t xml:space="preserve">ad idem </w:t>
      </w:r>
      <w:r w:rsidR="00964E79" w:rsidRPr="00C44116">
        <w:rPr>
          <w:rFonts w:ascii="Times New Roman" w:hAnsi="Times New Roman"/>
          <w:sz w:val="24"/>
          <w:szCs w:val="24"/>
        </w:rPr>
        <w:t>that the respondents are precisely such entities.</w:t>
      </w:r>
      <w:r w:rsidR="00964E79" w:rsidRPr="00C44116">
        <w:rPr>
          <w:rStyle w:val="FootnoteReference"/>
          <w:rFonts w:ascii="Times New Roman" w:hAnsi="Times New Roman"/>
          <w:sz w:val="24"/>
          <w:szCs w:val="24"/>
        </w:rPr>
        <w:footnoteReference w:id="26"/>
      </w:r>
      <w:r w:rsidR="00F85946" w:rsidRPr="00C44116">
        <w:rPr>
          <w:rFonts w:ascii="Times New Roman" w:hAnsi="Times New Roman"/>
          <w:sz w:val="24"/>
          <w:szCs w:val="24"/>
        </w:rPr>
        <w:t xml:space="preserve">  They are not foreign states.</w:t>
      </w:r>
    </w:p>
    <w:p w:rsidR="00780456" w:rsidRPr="00C44116" w:rsidRDefault="00964E79"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respondents </w:t>
      </w:r>
      <w:r w:rsidR="00780456" w:rsidRPr="00C44116">
        <w:rPr>
          <w:rFonts w:ascii="Times New Roman" w:hAnsi="Times New Roman"/>
          <w:sz w:val="24"/>
          <w:szCs w:val="24"/>
        </w:rPr>
        <w:t xml:space="preserve">expressly </w:t>
      </w:r>
      <w:r w:rsidRPr="00C44116">
        <w:rPr>
          <w:rFonts w:ascii="Times New Roman" w:hAnsi="Times New Roman"/>
          <w:sz w:val="24"/>
          <w:szCs w:val="24"/>
        </w:rPr>
        <w:t>stated that they: “</w:t>
      </w:r>
      <w:r w:rsidRPr="00C44116">
        <w:rPr>
          <w:rFonts w:ascii="Times New Roman" w:hAnsi="Times New Roman"/>
          <w:i/>
          <w:sz w:val="24"/>
          <w:szCs w:val="24"/>
        </w:rPr>
        <w:t xml:space="preserve">are corporate entities that are legally distinct from Morocco.  The rights, duties and/or liabilities of Morocco, as a State </w:t>
      </w:r>
      <w:r w:rsidRPr="00C44116">
        <w:rPr>
          <w:rFonts w:ascii="Times New Roman" w:hAnsi="Times New Roman"/>
          <w:i/>
          <w:sz w:val="24"/>
          <w:szCs w:val="24"/>
        </w:rPr>
        <w:lastRenderedPageBreak/>
        <w:t>operating at the international level, can in no way be held to apply to companies like OCP and Phosboucraa who hold distinct legal personalities.</w:t>
      </w:r>
      <w:r w:rsidRPr="00C44116">
        <w:rPr>
          <w:rFonts w:ascii="Times New Roman" w:hAnsi="Times New Roman"/>
          <w:sz w:val="24"/>
          <w:szCs w:val="24"/>
        </w:rPr>
        <w:t>”</w:t>
      </w:r>
      <w:r w:rsidRPr="00C44116">
        <w:rPr>
          <w:rStyle w:val="FootnoteReference"/>
          <w:rFonts w:ascii="Times New Roman" w:hAnsi="Times New Roman"/>
          <w:sz w:val="24"/>
          <w:szCs w:val="24"/>
        </w:rPr>
        <w:footnoteReference w:id="27"/>
      </w:r>
      <w:r w:rsidRPr="00C44116">
        <w:rPr>
          <w:rFonts w:ascii="Times New Roman" w:hAnsi="Times New Roman"/>
          <w:i/>
          <w:sz w:val="24"/>
          <w:szCs w:val="24"/>
        </w:rPr>
        <w:t xml:space="preserv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That being so, it is hard to understand on what basis </w:t>
      </w:r>
      <w:r w:rsidR="00964E79" w:rsidRPr="00C44116">
        <w:rPr>
          <w:rFonts w:ascii="Times New Roman" w:hAnsi="Times New Roman"/>
          <w:sz w:val="24"/>
          <w:szCs w:val="24"/>
        </w:rPr>
        <w:t xml:space="preserve">the </w:t>
      </w:r>
      <w:r w:rsidRPr="00C44116">
        <w:rPr>
          <w:rFonts w:ascii="Times New Roman" w:hAnsi="Times New Roman"/>
          <w:sz w:val="24"/>
          <w:szCs w:val="24"/>
        </w:rPr>
        <w:t>FSIA can have any application.</w:t>
      </w:r>
    </w:p>
    <w:p w:rsidR="00780456" w:rsidRPr="00C44116" w:rsidRDefault="00780456" w:rsidP="00D56C5E">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Recognising this, </w:t>
      </w:r>
      <w:r w:rsidR="00964E79" w:rsidRPr="00C44116">
        <w:rPr>
          <w:rFonts w:ascii="Times New Roman" w:hAnsi="Times New Roman"/>
          <w:sz w:val="24"/>
          <w:szCs w:val="24"/>
        </w:rPr>
        <w:t xml:space="preserve">the respondents </w:t>
      </w:r>
      <w:r w:rsidRPr="00C44116">
        <w:rPr>
          <w:rFonts w:ascii="Times New Roman" w:hAnsi="Times New Roman"/>
          <w:sz w:val="24"/>
          <w:szCs w:val="24"/>
        </w:rPr>
        <w:t>are driven in para</w:t>
      </w:r>
      <w:r w:rsidR="00964E79" w:rsidRPr="00C44116">
        <w:rPr>
          <w:rFonts w:ascii="Times New Roman" w:hAnsi="Times New Roman"/>
          <w:sz w:val="24"/>
          <w:szCs w:val="24"/>
        </w:rPr>
        <w:t>graph</w:t>
      </w:r>
      <w:r w:rsidRPr="00C44116">
        <w:rPr>
          <w:rFonts w:ascii="Times New Roman" w:hAnsi="Times New Roman"/>
          <w:sz w:val="24"/>
          <w:szCs w:val="24"/>
        </w:rPr>
        <w:t xml:space="preserve"> 122 of their heads, to conclude that M</w:t>
      </w:r>
      <w:r w:rsidR="00964E79" w:rsidRPr="00C44116">
        <w:rPr>
          <w:rFonts w:ascii="Times New Roman" w:hAnsi="Times New Roman"/>
          <w:sz w:val="24"/>
          <w:szCs w:val="24"/>
        </w:rPr>
        <w:t>orocco</w:t>
      </w:r>
      <w:r w:rsidRPr="00C44116">
        <w:rPr>
          <w:rFonts w:ascii="Times New Roman" w:hAnsi="Times New Roman"/>
          <w:sz w:val="24"/>
          <w:szCs w:val="24"/>
        </w:rPr>
        <w:t xml:space="preserve"> enjoys immunity on the basis of certain principles. </w:t>
      </w:r>
      <w:r w:rsidR="00964E79" w:rsidRPr="00C44116">
        <w:rPr>
          <w:rFonts w:ascii="Times New Roman" w:hAnsi="Times New Roman"/>
          <w:sz w:val="24"/>
          <w:szCs w:val="24"/>
        </w:rPr>
        <w:t xml:space="preserve"> </w:t>
      </w:r>
      <w:r w:rsidRPr="00C44116">
        <w:rPr>
          <w:rFonts w:ascii="Times New Roman" w:hAnsi="Times New Roman"/>
          <w:sz w:val="24"/>
          <w:szCs w:val="24"/>
        </w:rPr>
        <w:t xml:space="preserve">The principles are those contained in article 6(2)(b) of the UN </w:t>
      </w:r>
      <w:r w:rsidR="00964E79" w:rsidRPr="00C44116">
        <w:rPr>
          <w:rFonts w:ascii="Times New Roman" w:hAnsi="Times New Roman"/>
          <w:sz w:val="24"/>
          <w:szCs w:val="24"/>
        </w:rPr>
        <w:t xml:space="preserve">Jurisdiction </w:t>
      </w:r>
      <w:r w:rsidRPr="00C44116">
        <w:rPr>
          <w:rFonts w:ascii="Times New Roman" w:hAnsi="Times New Roman"/>
          <w:sz w:val="24"/>
          <w:szCs w:val="24"/>
        </w:rPr>
        <w:t xml:space="preserve">Convention. </w:t>
      </w:r>
    </w:p>
    <w:p w:rsidR="00F641DE" w:rsidRPr="00C44116" w:rsidRDefault="00F641DE"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There are two main requirements for a customary rule: settled practice and the acceptance of an obligation to be bound.</w:t>
      </w:r>
      <w:r w:rsidRPr="00C44116">
        <w:rPr>
          <w:rStyle w:val="FootnoteReference"/>
          <w:rFonts w:ascii="Times New Roman" w:hAnsi="Times New Roman"/>
          <w:sz w:val="24"/>
          <w:szCs w:val="24"/>
        </w:rPr>
        <w:footnoteReference w:id="28"/>
      </w:r>
      <w:r w:rsidRPr="00C44116">
        <w:rPr>
          <w:rFonts w:ascii="Times New Roman" w:hAnsi="Times New Roman"/>
          <w:sz w:val="24"/>
          <w:szCs w:val="24"/>
        </w:rPr>
        <w:t xml:space="preserv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It is questionable whether </w:t>
      </w:r>
      <w:r w:rsidR="00D56C5E" w:rsidRPr="00C44116">
        <w:rPr>
          <w:rFonts w:ascii="Times New Roman" w:hAnsi="Times New Roman"/>
          <w:sz w:val="24"/>
          <w:szCs w:val="24"/>
        </w:rPr>
        <w:t xml:space="preserve">article </w:t>
      </w:r>
      <w:r w:rsidR="00F641DE" w:rsidRPr="00C44116">
        <w:rPr>
          <w:rFonts w:ascii="Times New Roman" w:hAnsi="Times New Roman"/>
          <w:sz w:val="24"/>
          <w:szCs w:val="24"/>
        </w:rPr>
        <w:t>6(2)(b), which the respondents</w:t>
      </w:r>
      <w:r w:rsidRPr="00C44116">
        <w:rPr>
          <w:rFonts w:ascii="Times New Roman" w:hAnsi="Times New Roman"/>
          <w:sz w:val="24"/>
          <w:szCs w:val="24"/>
        </w:rPr>
        <w:t xml:space="preserve"> hinge </w:t>
      </w:r>
      <w:r w:rsidR="00D56C5E" w:rsidRPr="00C44116">
        <w:rPr>
          <w:rFonts w:ascii="Times New Roman" w:hAnsi="Times New Roman"/>
          <w:sz w:val="24"/>
          <w:szCs w:val="24"/>
        </w:rPr>
        <w:t xml:space="preserve">their argument on, </w:t>
      </w:r>
      <w:r w:rsidR="00F641DE" w:rsidRPr="00C44116">
        <w:rPr>
          <w:rFonts w:ascii="Times New Roman" w:hAnsi="Times New Roman"/>
          <w:sz w:val="24"/>
          <w:szCs w:val="24"/>
        </w:rPr>
        <w:t xml:space="preserve">is </w:t>
      </w:r>
      <w:r w:rsidR="00D56C5E" w:rsidRPr="00C44116">
        <w:rPr>
          <w:rFonts w:ascii="Times New Roman" w:hAnsi="Times New Roman"/>
          <w:sz w:val="24"/>
          <w:szCs w:val="24"/>
        </w:rPr>
        <w:t>part of customary international law</w:t>
      </w:r>
      <w:r w:rsidRPr="00C44116">
        <w:rPr>
          <w:rFonts w:ascii="Times New Roman" w:hAnsi="Times New Roman"/>
          <w:sz w:val="24"/>
          <w:szCs w:val="24"/>
        </w:rPr>
        <w:t>.</w:t>
      </w:r>
      <w:r w:rsidR="00D56C5E" w:rsidRPr="00C44116">
        <w:rPr>
          <w:rFonts w:ascii="Times New Roman" w:hAnsi="Times New Roman"/>
          <w:sz w:val="24"/>
          <w:szCs w:val="24"/>
        </w:rPr>
        <w:t xml:space="preserve">  The Convention has only been ratified by 19 states, and concerns were expressed</w:t>
      </w:r>
      <w:r w:rsidRPr="00C44116">
        <w:rPr>
          <w:rFonts w:ascii="Times New Roman" w:hAnsi="Times New Roman"/>
          <w:sz w:val="24"/>
          <w:szCs w:val="24"/>
        </w:rPr>
        <w:t xml:space="preserve"> </w:t>
      </w:r>
      <w:r w:rsidR="00D56C5E" w:rsidRPr="00C44116">
        <w:rPr>
          <w:rFonts w:ascii="Times New Roman" w:hAnsi="Times New Roman"/>
          <w:sz w:val="24"/>
          <w:szCs w:val="24"/>
        </w:rPr>
        <w:t>at the drafting stage by Australia and the United States about the potential width of the article in question.</w:t>
      </w:r>
      <w:r w:rsidR="00D56C5E" w:rsidRPr="00C44116">
        <w:rPr>
          <w:rStyle w:val="FootnoteReference"/>
          <w:rFonts w:ascii="Times New Roman" w:hAnsi="Times New Roman"/>
          <w:sz w:val="24"/>
          <w:szCs w:val="24"/>
        </w:rPr>
        <w:footnoteReference w:id="29"/>
      </w:r>
      <w:r w:rsidRPr="00C44116">
        <w:rPr>
          <w:rFonts w:ascii="Times New Roman" w:hAnsi="Times New Roman"/>
          <w:sz w:val="24"/>
          <w:szCs w:val="24"/>
        </w:rPr>
        <w:t xml:space="preserv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To the extent that </w:t>
      </w:r>
      <w:r w:rsidR="00D56C5E" w:rsidRPr="00C44116">
        <w:rPr>
          <w:rFonts w:ascii="Times New Roman" w:hAnsi="Times New Roman"/>
          <w:sz w:val="24"/>
          <w:szCs w:val="24"/>
        </w:rPr>
        <w:t xml:space="preserve">article </w:t>
      </w:r>
      <w:r w:rsidRPr="00C44116">
        <w:rPr>
          <w:rFonts w:ascii="Times New Roman" w:hAnsi="Times New Roman"/>
          <w:sz w:val="24"/>
          <w:szCs w:val="24"/>
        </w:rPr>
        <w:t xml:space="preserve">6(2)(b) is part of </w:t>
      </w:r>
      <w:r w:rsidR="00D56C5E" w:rsidRPr="00C44116">
        <w:rPr>
          <w:rFonts w:ascii="Times New Roman" w:hAnsi="Times New Roman"/>
          <w:sz w:val="24"/>
          <w:szCs w:val="24"/>
        </w:rPr>
        <w:t xml:space="preserve">customary international law, the article is analysed </w:t>
      </w:r>
      <w:r w:rsidR="00F641DE" w:rsidRPr="00C44116">
        <w:rPr>
          <w:rFonts w:ascii="Times New Roman" w:hAnsi="Times New Roman"/>
          <w:sz w:val="24"/>
          <w:szCs w:val="24"/>
        </w:rPr>
        <w:t xml:space="preserve">in </w:t>
      </w:r>
      <w:r w:rsidR="00F641DE" w:rsidRPr="00C44116">
        <w:rPr>
          <w:rFonts w:ascii="Times New Roman" w:hAnsi="Times New Roman"/>
          <w:i/>
          <w:sz w:val="24"/>
          <w:szCs w:val="24"/>
        </w:rPr>
        <w:t xml:space="preserve">Belhaj </w:t>
      </w:r>
      <w:r w:rsidR="00D56C5E" w:rsidRPr="00C44116">
        <w:rPr>
          <w:rFonts w:ascii="Times New Roman" w:hAnsi="Times New Roman"/>
          <w:sz w:val="24"/>
          <w:szCs w:val="24"/>
        </w:rPr>
        <w:t>by Lords Mance and Sumption</w:t>
      </w:r>
      <w:r w:rsidR="001B3FBD" w:rsidRPr="00C44116">
        <w:rPr>
          <w:rFonts w:ascii="Times New Roman" w:hAnsi="Times New Roman"/>
          <w:sz w:val="24"/>
          <w:szCs w:val="24"/>
        </w:rPr>
        <w:t>,</w:t>
      </w:r>
      <w:r w:rsidR="00D56C5E" w:rsidRPr="00C44116">
        <w:rPr>
          <w:rStyle w:val="FootnoteReference"/>
          <w:rFonts w:ascii="Times New Roman" w:hAnsi="Times New Roman"/>
          <w:sz w:val="24"/>
          <w:szCs w:val="24"/>
        </w:rPr>
        <w:footnoteReference w:id="30"/>
      </w:r>
      <w:r w:rsidR="001B3FBD" w:rsidRPr="00C44116">
        <w:rPr>
          <w:rFonts w:ascii="Times New Roman" w:hAnsi="Times New Roman"/>
          <w:sz w:val="24"/>
          <w:szCs w:val="24"/>
        </w:rPr>
        <w:t xml:space="preserve"> with whom the other judges agreed.</w:t>
      </w:r>
      <w:r w:rsidR="001B3FBD" w:rsidRPr="00C44116">
        <w:rPr>
          <w:rStyle w:val="FootnoteReference"/>
          <w:rFonts w:ascii="Times New Roman" w:hAnsi="Times New Roman"/>
          <w:sz w:val="24"/>
          <w:szCs w:val="24"/>
        </w:rPr>
        <w:footnoteReference w:id="31"/>
      </w:r>
      <w:r w:rsidR="00D56C5E" w:rsidRPr="00C44116">
        <w:rPr>
          <w:rFonts w:ascii="Times New Roman" w:hAnsi="Times New Roman"/>
          <w:sz w:val="24"/>
          <w:szCs w:val="24"/>
        </w:rPr>
        <w:t xml:space="preserve"> </w:t>
      </w:r>
      <w:r w:rsidRPr="00C44116">
        <w:rPr>
          <w:rFonts w:ascii="Times New Roman" w:hAnsi="Times New Roman"/>
          <w:sz w:val="24"/>
          <w:szCs w:val="24"/>
        </w:rPr>
        <w:t xml:space="preserve"> That analysis has direct application in the case before this Court. </w:t>
      </w:r>
      <w:r w:rsidR="001B3FBD" w:rsidRPr="00C44116">
        <w:rPr>
          <w:rFonts w:ascii="Times New Roman" w:hAnsi="Times New Roman"/>
          <w:sz w:val="24"/>
          <w:szCs w:val="24"/>
        </w:rPr>
        <w:t xml:space="preserve"> </w:t>
      </w:r>
      <w:r w:rsidR="001B3FBD" w:rsidRPr="00C44116">
        <w:rPr>
          <w:rFonts w:ascii="Times New Roman" w:hAnsi="Times New Roman"/>
          <w:sz w:val="24"/>
          <w:szCs w:val="24"/>
        </w:rPr>
        <w:lastRenderedPageBreak/>
        <w:t xml:space="preserve">The respondents </w:t>
      </w:r>
      <w:r w:rsidRPr="00C44116">
        <w:rPr>
          <w:rFonts w:ascii="Times New Roman" w:hAnsi="Times New Roman"/>
          <w:sz w:val="24"/>
          <w:szCs w:val="24"/>
        </w:rPr>
        <w:t xml:space="preserve">have ignored the analysis and simply relied on the wording of </w:t>
      </w:r>
      <w:r w:rsidR="001B3FBD" w:rsidRPr="00C44116">
        <w:rPr>
          <w:rFonts w:ascii="Times New Roman" w:hAnsi="Times New Roman"/>
          <w:sz w:val="24"/>
          <w:szCs w:val="24"/>
        </w:rPr>
        <w:t xml:space="preserve">article </w:t>
      </w:r>
      <w:r w:rsidRPr="00C44116">
        <w:rPr>
          <w:rFonts w:ascii="Times New Roman" w:hAnsi="Times New Roman"/>
          <w:sz w:val="24"/>
          <w:szCs w:val="24"/>
        </w:rPr>
        <w:t xml:space="preserve">6(2)(b). </w:t>
      </w:r>
      <w:r w:rsidR="001B3FBD" w:rsidRPr="00C44116">
        <w:rPr>
          <w:rFonts w:ascii="Times New Roman" w:hAnsi="Times New Roman"/>
          <w:sz w:val="24"/>
          <w:szCs w:val="24"/>
        </w:rPr>
        <w:t xml:space="preserve"> </w:t>
      </w:r>
      <w:r w:rsidRPr="00C44116">
        <w:rPr>
          <w:rFonts w:ascii="Times New Roman" w:hAnsi="Times New Roman"/>
          <w:sz w:val="24"/>
          <w:szCs w:val="24"/>
        </w:rPr>
        <w:t>That is fatal to their claim of state immunity.</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A proper analysis and interpretation of the words contained </w:t>
      </w:r>
      <w:r w:rsidR="001B3FBD" w:rsidRPr="00C44116">
        <w:rPr>
          <w:rFonts w:ascii="Times New Roman" w:hAnsi="Times New Roman"/>
          <w:sz w:val="24"/>
          <w:szCs w:val="24"/>
        </w:rPr>
        <w:t xml:space="preserve">in article </w:t>
      </w:r>
      <w:r w:rsidR="00C44116" w:rsidRPr="00C44116">
        <w:rPr>
          <w:rFonts w:ascii="Times New Roman" w:hAnsi="Times New Roman"/>
          <w:sz w:val="24"/>
          <w:szCs w:val="24"/>
        </w:rPr>
        <w:t xml:space="preserve">6(2)(b) </w:t>
      </w:r>
      <w:r w:rsidRPr="00C44116">
        <w:rPr>
          <w:rFonts w:ascii="Times New Roman" w:hAnsi="Times New Roman"/>
          <w:sz w:val="24"/>
          <w:szCs w:val="24"/>
        </w:rPr>
        <w:t>indicate</w:t>
      </w:r>
      <w:r w:rsidR="001B3FBD" w:rsidRPr="00C44116">
        <w:rPr>
          <w:rFonts w:ascii="Times New Roman" w:hAnsi="Times New Roman"/>
          <w:sz w:val="24"/>
          <w:szCs w:val="24"/>
        </w:rPr>
        <w:t xml:space="preserve"> that:</w:t>
      </w:r>
    </w:p>
    <w:p w:rsidR="001B3FBD" w:rsidRPr="00C44116" w:rsidRDefault="001B3FBD" w:rsidP="001B3FBD">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Article 6 has its provenance in cases concerning the arrest of state-owned vessels and property in which states claim an interest (Lord Mance para 26).</w:t>
      </w:r>
    </w:p>
    <w:p w:rsidR="001B3FBD" w:rsidRPr="00C44116" w:rsidRDefault="001B3FBD" w:rsidP="001B3FBD">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The purpose of the provision is to avoid a state having to choose between being deprived of property or otherwise submitting to the jurisdiction</w:t>
      </w:r>
      <w:r w:rsidR="00F27917" w:rsidRPr="00C44116">
        <w:rPr>
          <w:rFonts w:ascii="Times New Roman" w:hAnsi="Times New Roman"/>
          <w:sz w:val="24"/>
          <w:szCs w:val="24"/>
        </w:rPr>
        <w:t xml:space="preserve"> (Lord Mance para 26)</w:t>
      </w:r>
      <w:r w:rsidRPr="00C44116">
        <w:rPr>
          <w:rFonts w:ascii="Times New Roman" w:hAnsi="Times New Roman"/>
          <w:sz w:val="24"/>
          <w:szCs w:val="24"/>
        </w:rPr>
        <w:t>.</w:t>
      </w:r>
    </w:p>
    <w:p w:rsidR="001B3FBD" w:rsidRPr="00C44116" w:rsidRDefault="001B3FBD" w:rsidP="001B3FBD">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“Interests” should be limited to a claim for which there is some legal foundation and not merely to some political or moral concern of the state</w:t>
      </w:r>
      <w:r w:rsidR="00F27917" w:rsidRPr="00C44116">
        <w:rPr>
          <w:rFonts w:ascii="Times New Roman" w:hAnsi="Times New Roman"/>
          <w:sz w:val="24"/>
          <w:szCs w:val="24"/>
        </w:rPr>
        <w:t xml:space="preserve"> (Lord Mance para 26)</w:t>
      </w:r>
      <w:r w:rsidRPr="00C44116">
        <w:rPr>
          <w:rFonts w:ascii="Times New Roman" w:hAnsi="Times New Roman"/>
          <w:sz w:val="24"/>
          <w:szCs w:val="24"/>
        </w:rPr>
        <w:t xml:space="preserve">. </w:t>
      </w:r>
    </w:p>
    <w:p w:rsidR="001B3FBD" w:rsidRPr="00C44116" w:rsidRDefault="00F27917" w:rsidP="001B3FBD">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The word “affect” is used to indicate that the provision relates to actions involving seizure or attachment of public properties or properties belonging to a foreign state or in its possession or control (Lord Sumption para 195).</w:t>
      </w:r>
    </w:p>
    <w:p w:rsidR="00F27917" w:rsidRPr="00C44116" w:rsidRDefault="00F27917" w:rsidP="001B3FBD">
      <w:pPr>
        <w:numPr>
          <w:ilvl w:val="1"/>
          <w:numId w:val="8"/>
        </w:numPr>
        <w:spacing w:before="360" w:after="360" w:line="480" w:lineRule="auto"/>
        <w:jc w:val="both"/>
        <w:rPr>
          <w:rFonts w:ascii="Times New Roman" w:hAnsi="Times New Roman"/>
          <w:sz w:val="24"/>
          <w:szCs w:val="24"/>
        </w:rPr>
      </w:pPr>
      <w:r w:rsidRPr="00C44116">
        <w:rPr>
          <w:rFonts w:ascii="Times New Roman" w:hAnsi="Times New Roman"/>
          <w:sz w:val="24"/>
          <w:szCs w:val="24"/>
        </w:rPr>
        <w:t xml:space="preserve">The article applies where a state’s </w:t>
      </w:r>
      <w:r w:rsidRPr="00C44116">
        <w:rPr>
          <w:rFonts w:ascii="Times New Roman" w:hAnsi="Times New Roman"/>
          <w:sz w:val="24"/>
          <w:szCs w:val="24"/>
          <w:u w:val="single"/>
        </w:rPr>
        <w:t>legal interests</w:t>
      </w:r>
      <w:r w:rsidRPr="00C44116">
        <w:rPr>
          <w:rFonts w:ascii="Times New Roman" w:hAnsi="Times New Roman"/>
          <w:sz w:val="24"/>
          <w:szCs w:val="24"/>
        </w:rPr>
        <w:t xml:space="preserve"> are affected (Lord Sumption para 196).</w:t>
      </w:r>
    </w:p>
    <w:p w:rsidR="009566B5" w:rsidRPr="00C44116" w:rsidRDefault="009566B5"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Morocco has no legal right or interest in the cargo, and therefore issues of sovereign immunity do not arise.</w:t>
      </w:r>
    </w:p>
    <w:p w:rsidR="009566B5" w:rsidRPr="00C44116" w:rsidRDefault="009566B5"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 xml:space="preserve">It is also evident from the founding affidavits that the cargo was exploited and sold for commercial purposes. </w:t>
      </w:r>
    </w:p>
    <w:p w:rsidR="00EB77CD" w:rsidRPr="00C44116" w:rsidRDefault="009566B5"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Insofar as reliance is placed in the </w:t>
      </w:r>
      <w:r w:rsidRPr="00C44116">
        <w:rPr>
          <w:rFonts w:ascii="Times New Roman" w:hAnsi="Times New Roman"/>
          <w:i/>
          <w:sz w:val="24"/>
          <w:szCs w:val="24"/>
        </w:rPr>
        <w:t xml:space="preserve">East Timor </w:t>
      </w:r>
      <w:r w:rsidR="00C44116" w:rsidRPr="00C44116">
        <w:rPr>
          <w:rFonts w:ascii="Times New Roman" w:hAnsi="Times New Roman"/>
          <w:sz w:val="24"/>
          <w:szCs w:val="24"/>
        </w:rPr>
        <w:t>case (respondents’ heads paragraphs</w:t>
      </w:r>
      <w:r w:rsidRPr="00C44116">
        <w:rPr>
          <w:rFonts w:ascii="Times New Roman" w:hAnsi="Times New Roman"/>
          <w:sz w:val="24"/>
          <w:szCs w:val="24"/>
        </w:rPr>
        <w:t xml:space="preserve"> 130ff), it should be noted that the issue in this case the problem was the absence of a necessary party.  Nobody has suggested in the matter before this Court that Morocco is a necessary party.  </w:t>
      </w:r>
    </w:p>
    <w:p w:rsidR="009566B5" w:rsidRPr="00C44116" w:rsidRDefault="009566B5"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Furthermore, as appears from the speech of Lord Sumption in </w:t>
      </w:r>
      <w:r w:rsidRPr="00C44116">
        <w:rPr>
          <w:rFonts w:ascii="Times New Roman" w:hAnsi="Times New Roman"/>
          <w:i/>
          <w:sz w:val="24"/>
          <w:szCs w:val="24"/>
        </w:rPr>
        <w:t>Belhaj</w:t>
      </w:r>
      <w:r w:rsidRPr="00C44116">
        <w:rPr>
          <w:rFonts w:ascii="Times New Roman" w:hAnsi="Times New Roman"/>
          <w:sz w:val="24"/>
          <w:szCs w:val="24"/>
        </w:rPr>
        <w:t xml:space="preserve">, </w:t>
      </w:r>
      <w:r w:rsidR="00EB77CD" w:rsidRPr="00C44116">
        <w:rPr>
          <w:rFonts w:ascii="Times New Roman" w:hAnsi="Times New Roman"/>
          <w:sz w:val="24"/>
          <w:szCs w:val="24"/>
        </w:rPr>
        <w:t xml:space="preserve">the </w:t>
      </w:r>
      <w:r w:rsidR="00EB77CD" w:rsidRPr="00C44116">
        <w:rPr>
          <w:rFonts w:ascii="Times New Roman" w:hAnsi="Times New Roman"/>
          <w:i/>
          <w:sz w:val="24"/>
          <w:szCs w:val="24"/>
        </w:rPr>
        <w:t xml:space="preserve">East Timor </w:t>
      </w:r>
      <w:r w:rsidR="00EB77CD" w:rsidRPr="00C44116">
        <w:rPr>
          <w:rFonts w:ascii="Times New Roman" w:hAnsi="Times New Roman"/>
          <w:sz w:val="24"/>
          <w:szCs w:val="24"/>
        </w:rPr>
        <w:t xml:space="preserve">case, like the </w:t>
      </w:r>
      <w:r w:rsidR="00EB77CD" w:rsidRPr="00C44116">
        <w:rPr>
          <w:rFonts w:ascii="Times New Roman" w:hAnsi="Times New Roman"/>
          <w:i/>
          <w:sz w:val="24"/>
          <w:szCs w:val="24"/>
        </w:rPr>
        <w:t xml:space="preserve">Monetary Gold </w:t>
      </w:r>
      <w:r w:rsidR="00EB77CD" w:rsidRPr="00C44116">
        <w:rPr>
          <w:rFonts w:ascii="Times New Roman" w:hAnsi="Times New Roman"/>
          <w:sz w:val="24"/>
          <w:szCs w:val="24"/>
        </w:rPr>
        <w:t>case, had two features which in combination accounted for the outcome.  First, the rights or liabilities of the non-party state were the very subject matter of the dispute between the parties.  Secondly, although the judgment would have bound only the parties, each of the parties would have been bound to deal with the non-party in accordance with it.</w:t>
      </w:r>
      <w:r w:rsidR="00EB77CD" w:rsidRPr="00C44116">
        <w:rPr>
          <w:rStyle w:val="FootnoteReference"/>
          <w:rFonts w:ascii="Times New Roman" w:hAnsi="Times New Roman"/>
          <w:sz w:val="24"/>
          <w:szCs w:val="24"/>
        </w:rPr>
        <w:footnoteReference w:id="32"/>
      </w:r>
      <w:r w:rsidR="00EB77CD" w:rsidRPr="00C44116">
        <w:rPr>
          <w:rFonts w:ascii="Times New Roman" w:hAnsi="Times New Roman"/>
          <w:sz w:val="24"/>
          <w:szCs w:val="24"/>
        </w:rPr>
        <w:t xml:space="preserve">  Therefore, even if the respondents are able to show that the rights of Morocco are the subject matter of the dispute (which we submit would be overstating the position), it would still be necessary to show that the parties to the application would be bound to deal with Morocco in accordance with the judgment.  This is not the case. </w:t>
      </w:r>
    </w:p>
    <w:p w:rsidR="00780456" w:rsidRPr="00C44116" w:rsidRDefault="00780456"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In addition, the only way the </w:t>
      </w:r>
      <w:r w:rsidR="00F27917" w:rsidRPr="00C44116">
        <w:rPr>
          <w:rFonts w:ascii="Times New Roman" w:hAnsi="Times New Roman"/>
          <w:sz w:val="24"/>
          <w:szCs w:val="24"/>
        </w:rPr>
        <w:t xml:space="preserve">FSAI </w:t>
      </w:r>
      <w:r w:rsidRPr="00C44116">
        <w:rPr>
          <w:rFonts w:ascii="Times New Roman" w:hAnsi="Times New Roman"/>
          <w:sz w:val="24"/>
          <w:szCs w:val="24"/>
        </w:rPr>
        <w:t xml:space="preserve">can assist </w:t>
      </w:r>
      <w:r w:rsidR="00F27917" w:rsidRPr="00C44116">
        <w:rPr>
          <w:rFonts w:ascii="Times New Roman" w:hAnsi="Times New Roman"/>
          <w:sz w:val="24"/>
          <w:szCs w:val="24"/>
        </w:rPr>
        <w:t xml:space="preserve">the respondents is if </w:t>
      </w:r>
      <w:r w:rsidRPr="00C44116">
        <w:rPr>
          <w:rFonts w:ascii="Times New Roman" w:hAnsi="Times New Roman"/>
          <w:sz w:val="24"/>
          <w:szCs w:val="24"/>
        </w:rPr>
        <w:t xml:space="preserve">the meaning contained in </w:t>
      </w:r>
      <w:r w:rsidR="00F27917" w:rsidRPr="00C44116">
        <w:rPr>
          <w:rFonts w:ascii="Times New Roman" w:hAnsi="Times New Roman"/>
          <w:sz w:val="24"/>
          <w:szCs w:val="24"/>
        </w:rPr>
        <w:t>article 6</w:t>
      </w:r>
      <w:r w:rsidRPr="00C44116">
        <w:rPr>
          <w:rFonts w:ascii="Times New Roman" w:hAnsi="Times New Roman"/>
          <w:sz w:val="24"/>
          <w:szCs w:val="24"/>
        </w:rPr>
        <w:t>(2)(b) be imported into the Act.</w:t>
      </w:r>
      <w:r w:rsidR="00F27917" w:rsidRPr="00C44116">
        <w:rPr>
          <w:rFonts w:ascii="Times New Roman" w:hAnsi="Times New Roman"/>
          <w:sz w:val="24"/>
          <w:szCs w:val="24"/>
        </w:rPr>
        <w:t xml:space="preserve"> </w:t>
      </w:r>
      <w:r w:rsidRPr="00C44116">
        <w:rPr>
          <w:rFonts w:ascii="Times New Roman" w:hAnsi="Times New Roman"/>
          <w:sz w:val="24"/>
          <w:szCs w:val="24"/>
        </w:rPr>
        <w:t xml:space="preserve"> </w:t>
      </w:r>
    </w:p>
    <w:p w:rsidR="00780456" w:rsidRPr="00C44116" w:rsidRDefault="00F27917"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lastRenderedPageBreak/>
        <w:t>The respondents’ analysis appears to accept that i</w:t>
      </w:r>
      <w:r w:rsidR="00780456" w:rsidRPr="00C44116">
        <w:rPr>
          <w:rFonts w:ascii="Times New Roman" w:hAnsi="Times New Roman"/>
          <w:sz w:val="24"/>
          <w:szCs w:val="24"/>
        </w:rPr>
        <w:t xml:space="preserve">f </w:t>
      </w:r>
      <w:r w:rsidRPr="00C44116">
        <w:rPr>
          <w:rFonts w:ascii="Times New Roman" w:hAnsi="Times New Roman"/>
          <w:sz w:val="24"/>
          <w:szCs w:val="24"/>
        </w:rPr>
        <w:t xml:space="preserve">they </w:t>
      </w:r>
      <w:r w:rsidR="00780456" w:rsidRPr="00C44116">
        <w:rPr>
          <w:rFonts w:ascii="Times New Roman" w:hAnsi="Times New Roman"/>
          <w:sz w:val="24"/>
          <w:szCs w:val="24"/>
        </w:rPr>
        <w:t>do</w:t>
      </w:r>
      <w:r w:rsidRPr="00C44116">
        <w:rPr>
          <w:rFonts w:ascii="Times New Roman" w:hAnsi="Times New Roman"/>
          <w:sz w:val="24"/>
          <w:szCs w:val="24"/>
        </w:rPr>
        <w:t xml:space="preserve"> </w:t>
      </w:r>
      <w:r w:rsidR="00780456" w:rsidRPr="00C44116">
        <w:rPr>
          <w:rFonts w:ascii="Times New Roman" w:hAnsi="Times New Roman"/>
          <w:sz w:val="24"/>
          <w:szCs w:val="24"/>
        </w:rPr>
        <w:t>n</w:t>
      </w:r>
      <w:r w:rsidRPr="00C44116">
        <w:rPr>
          <w:rFonts w:ascii="Times New Roman" w:hAnsi="Times New Roman"/>
          <w:sz w:val="24"/>
          <w:szCs w:val="24"/>
        </w:rPr>
        <w:t>o</w:t>
      </w:r>
      <w:r w:rsidR="00780456" w:rsidRPr="00C44116">
        <w:rPr>
          <w:rFonts w:ascii="Times New Roman" w:hAnsi="Times New Roman"/>
          <w:sz w:val="24"/>
          <w:szCs w:val="24"/>
        </w:rPr>
        <w:t xml:space="preserve">t </w:t>
      </w:r>
      <w:r w:rsidRPr="00C44116">
        <w:rPr>
          <w:rFonts w:ascii="Times New Roman" w:hAnsi="Times New Roman"/>
          <w:sz w:val="24"/>
          <w:szCs w:val="24"/>
        </w:rPr>
        <w:t xml:space="preserve">succeed in relation to article </w:t>
      </w:r>
      <w:r w:rsidR="00780456" w:rsidRPr="00C44116">
        <w:rPr>
          <w:rFonts w:ascii="Times New Roman" w:hAnsi="Times New Roman"/>
          <w:sz w:val="24"/>
          <w:szCs w:val="24"/>
        </w:rPr>
        <w:t>6(2)(b)</w:t>
      </w:r>
      <w:r w:rsidRPr="00C44116">
        <w:rPr>
          <w:rFonts w:ascii="Times New Roman" w:hAnsi="Times New Roman"/>
          <w:sz w:val="24"/>
          <w:szCs w:val="24"/>
        </w:rPr>
        <w:t>, the FSIA will not rescue them</w:t>
      </w:r>
      <w:r w:rsidR="00780456" w:rsidRPr="00C44116">
        <w:rPr>
          <w:rFonts w:ascii="Times New Roman" w:hAnsi="Times New Roman"/>
          <w:sz w:val="24"/>
          <w:szCs w:val="24"/>
        </w:rPr>
        <w:t xml:space="preserve">. </w:t>
      </w:r>
      <w:r w:rsidRPr="00C44116">
        <w:rPr>
          <w:rFonts w:ascii="Times New Roman" w:hAnsi="Times New Roman"/>
          <w:sz w:val="24"/>
          <w:szCs w:val="24"/>
        </w:rPr>
        <w:t xml:space="preserve"> We a</w:t>
      </w:r>
      <w:r w:rsidR="00780456" w:rsidRPr="00C44116">
        <w:rPr>
          <w:rFonts w:ascii="Times New Roman" w:hAnsi="Times New Roman"/>
          <w:sz w:val="24"/>
          <w:szCs w:val="24"/>
        </w:rPr>
        <w:t xml:space="preserve">gree with </w:t>
      </w:r>
      <w:r w:rsidRPr="00C44116">
        <w:rPr>
          <w:rFonts w:ascii="Times New Roman" w:hAnsi="Times New Roman"/>
          <w:sz w:val="24"/>
          <w:szCs w:val="24"/>
        </w:rPr>
        <w:t xml:space="preserve">this </w:t>
      </w:r>
      <w:r w:rsidR="00780456" w:rsidRPr="00C44116">
        <w:rPr>
          <w:rFonts w:ascii="Times New Roman" w:hAnsi="Times New Roman"/>
          <w:sz w:val="24"/>
          <w:szCs w:val="24"/>
        </w:rPr>
        <w:t xml:space="preserve">analysis. </w:t>
      </w:r>
    </w:p>
    <w:p w:rsidR="00F641DE" w:rsidRPr="00C44116" w:rsidRDefault="00F641DE" w:rsidP="00780456">
      <w:pPr>
        <w:numPr>
          <w:ilvl w:val="0"/>
          <w:numId w:val="8"/>
        </w:numPr>
        <w:tabs>
          <w:tab w:val="clear" w:pos="930"/>
          <w:tab w:val="num" w:pos="570"/>
        </w:tabs>
        <w:spacing w:before="360" w:after="360" w:line="480" w:lineRule="auto"/>
        <w:ind w:left="570"/>
        <w:jc w:val="both"/>
        <w:rPr>
          <w:rFonts w:ascii="Times New Roman" w:hAnsi="Times New Roman"/>
          <w:sz w:val="24"/>
          <w:szCs w:val="24"/>
        </w:rPr>
      </w:pPr>
      <w:r w:rsidRPr="00C44116">
        <w:rPr>
          <w:rFonts w:ascii="Times New Roman" w:hAnsi="Times New Roman"/>
          <w:sz w:val="24"/>
          <w:szCs w:val="24"/>
        </w:rPr>
        <w:t xml:space="preserve">The reliance placed upon </w:t>
      </w:r>
      <w:r w:rsidRPr="00C44116">
        <w:rPr>
          <w:rFonts w:ascii="Times New Roman" w:hAnsi="Times New Roman"/>
          <w:i/>
          <w:sz w:val="24"/>
          <w:szCs w:val="24"/>
        </w:rPr>
        <w:t xml:space="preserve">Al Bashir </w:t>
      </w:r>
      <w:r w:rsidR="00C44116" w:rsidRPr="00C44116">
        <w:rPr>
          <w:rFonts w:ascii="Times New Roman" w:hAnsi="Times New Roman"/>
          <w:sz w:val="24"/>
          <w:szCs w:val="24"/>
        </w:rPr>
        <w:t xml:space="preserve">(SCA) </w:t>
      </w:r>
      <w:r w:rsidRPr="00C44116">
        <w:rPr>
          <w:rFonts w:ascii="Times New Roman" w:hAnsi="Times New Roman"/>
          <w:sz w:val="24"/>
          <w:szCs w:val="24"/>
        </w:rPr>
        <w:t>is</w:t>
      </w:r>
      <w:r w:rsidR="00C44116" w:rsidRPr="00C44116">
        <w:rPr>
          <w:rFonts w:ascii="Times New Roman" w:hAnsi="Times New Roman"/>
          <w:sz w:val="24"/>
          <w:szCs w:val="24"/>
        </w:rPr>
        <w:t xml:space="preserve"> similarly unhelpful</w:t>
      </w:r>
      <w:r w:rsidRPr="00C44116">
        <w:rPr>
          <w:rFonts w:ascii="Times New Roman" w:hAnsi="Times New Roman"/>
          <w:sz w:val="24"/>
          <w:szCs w:val="24"/>
        </w:rPr>
        <w:t>.  The indirect impleading contemplated by the Supreme Court of Appeal, as indicated at footnote 41</w:t>
      </w:r>
      <w:r w:rsidR="00C44116" w:rsidRPr="00C44116">
        <w:rPr>
          <w:rFonts w:ascii="Times New Roman" w:hAnsi="Times New Roman"/>
          <w:sz w:val="24"/>
          <w:szCs w:val="24"/>
        </w:rPr>
        <w:t xml:space="preserve"> of the judgment</w:t>
      </w:r>
      <w:r w:rsidRPr="00C44116">
        <w:rPr>
          <w:rFonts w:ascii="Times New Roman" w:hAnsi="Times New Roman"/>
          <w:sz w:val="24"/>
          <w:szCs w:val="24"/>
        </w:rPr>
        <w:t xml:space="preserve">, is </w:t>
      </w:r>
      <w:r w:rsidR="00EB77CD" w:rsidRPr="00C44116">
        <w:rPr>
          <w:rFonts w:ascii="Times New Roman" w:hAnsi="Times New Roman"/>
          <w:sz w:val="24"/>
          <w:szCs w:val="24"/>
        </w:rPr>
        <w:t>either an</w:t>
      </w:r>
      <w:r w:rsidRPr="00C44116">
        <w:rPr>
          <w:rFonts w:ascii="Times New Roman" w:hAnsi="Times New Roman"/>
          <w:sz w:val="24"/>
          <w:szCs w:val="24"/>
        </w:rPr>
        <w:t xml:space="preserve"> </w:t>
      </w:r>
      <w:r w:rsidRPr="00C44116">
        <w:rPr>
          <w:rFonts w:ascii="Times New Roman" w:hAnsi="Times New Roman"/>
          <w:i/>
          <w:sz w:val="24"/>
          <w:szCs w:val="24"/>
        </w:rPr>
        <w:t xml:space="preserve">in rem </w:t>
      </w:r>
      <w:r w:rsidRPr="00C44116">
        <w:rPr>
          <w:rFonts w:ascii="Times New Roman" w:hAnsi="Times New Roman"/>
          <w:sz w:val="24"/>
          <w:szCs w:val="24"/>
        </w:rPr>
        <w:t xml:space="preserve">claim against a state-owned vessel, or where the wrongdoer is a state official such as a police officer or deputy-governor of a prison (as in </w:t>
      </w:r>
      <w:r w:rsidRPr="00C44116">
        <w:rPr>
          <w:rFonts w:ascii="Times New Roman" w:hAnsi="Times New Roman"/>
          <w:i/>
          <w:sz w:val="24"/>
          <w:szCs w:val="24"/>
        </w:rPr>
        <w:t>Jones</w:t>
      </w:r>
      <w:r w:rsidRPr="00C44116">
        <w:rPr>
          <w:rFonts w:ascii="Times New Roman" w:hAnsi="Times New Roman"/>
          <w:sz w:val="24"/>
          <w:szCs w:val="24"/>
        </w:rPr>
        <w:t xml:space="preserve">).  These scenarios are </w:t>
      </w:r>
      <w:r w:rsidR="00C44116" w:rsidRPr="00C44116">
        <w:rPr>
          <w:rFonts w:ascii="Times New Roman" w:hAnsi="Times New Roman"/>
          <w:sz w:val="24"/>
          <w:szCs w:val="24"/>
        </w:rPr>
        <w:t xml:space="preserve">not of assistance because </w:t>
      </w:r>
      <w:r w:rsidR="009566B5" w:rsidRPr="00C44116">
        <w:rPr>
          <w:rFonts w:ascii="Times New Roman" w:hAnsi="Times New Roman"/>
          <w:sz w:val="24"/>
          <w:szCs w:val="24"/>
        </w:rPr>
        <w:t>the respondents have explicitly stated that they did not act on behalf of the foreign state in question</w:t>
      </w:r>
      <w:r w:rsidR="00C44116" w:rsidRPr="00C44116">
        <w:rPr>
          <w:rFonts w:ascii="Times New Roman" w:hAnsi="Times New Roman"/>
          <w:sz w:val="24"/>
          <w:szCs w:val="24"/>
        </w:rPr>
        <w:t xml:space="preserve"> </w:t>
      </w:r>
      <w:r w:rsidR="00C44116" w:rsidRPr="00C44116">
        <w:rPr>
          <w:rFonts w:ascii="Times New Roman" w:hAnsi="Times New Roman"/>
          <w:i/>
          <w:sz w:val="24"/>
          <w:szCs w:val="24"/>
        </w:rPr>
        <w:t>in casu</w:t>
      </w:r>
      <w:r w:rsidR="009566B5" w:rsidRPr="00C44116">
        <w:rPr>
          <w:rFonts w:ascii="Times New Roman" w:hAnsi="Times New Roman"/>
          <w:sz w:val="24"/>
          <w:szCs w:val="24"/>
        </w:rPr>
        <w:t>.</w:t>
      </w:r>
    </w:p>
    <w:p w:rsidR="002F1942" w:rsidRPr="00C44116" w:rsidRDefault="002F1942" w:rsidP="002F1942">
      <w:pPr>
        <w:pStyle w:val="ListParagraph"/>
      </w:pPr>
    </w:p>
    <w:p w:rsidR="00B3631F" w:rsidRPr="00C44116" w:rsidRDefault="00B3631F" w:rsidP="00B3631F">
      <w:pPr>
        <w:pStyle w:val="BGNormal"/>
        <w:spacing w:before="120" w:line="240" w:lineRule="auto"/>
        <w:jc w:val="right"/>
        <w:rPr>
          <w:rFonts w:ascii="Times New Roman" w:hAnsi="Times New Roman"/>
          <w:b/>
          <w:sz w:val="24"/>
          <w:szCs w:val="24"/>
        </w:rPr>
      </w:pPr>
      <w:r w:rsidRPr="00C44116">
        <w:rPr>
          <w:rFonts w:ascii="Times New Roman" w:hAnsi="Times New Roman"/>
          <w:b/>
          <w:sz w:val="24"/>
          <w:szCs w:val="24"/>
        </w:rPr>
        <w:t>ANTON KATZ SC</w:t>
      </w:r>
    </w:p>
    <w:p w:rsidR="00B3631F" w:rsidRPr="00C44116" w:rsidRDefault="00B3631F" w:rsidP="00B3631F">
      <w:pPr>
        <w:pStyle w:val="BGNormal"/>
        <w:spacing w:before="120" w:line="240" w:lineRule="auto"/>
        <w:jc w:val="right"/>
        <w:rPr>
          <w:rFonts w:ascii="Times New Roman" w:hAnsi="Times New Roman"/>
          <w:b/>
          <w:sz w:val="24"/>
          <w:szCs w:val="24"/>
        </w:rPr>
      </w:pPr>
      <w:r w:rsidRPr="00C44116">
        <w:rPr>
          <w:rFonts w:ascii="Times New Roman" w:hAnsi="Times New Roman"/>
          <w:b/>
          <w:sz w:val="24"/>
          <w:szCs w:val="24"/>
        </w:rPr>
        <w:t>DARRYL COOKE</w:t>
      </w:r>
    </w:p>
    <w:p w:rsidR="00A85277" w:rsidRPr="00C44116" w:rsidRDefault="00A85277" w:rsidP="00B3631F">
      <w:pPr>
        <w:pStyle w:val="BGNormal"/>
        <w:spacing w:before="120" w:line="240" w:lineRule="auto"/>
        <w:jc w:val="right"/>
        <w:rPr>
          <w:rFonts w:ascii="Times New Roman" w:hAnsi="Times New Roman"/>
          <w:b/>
          <w:sz w:val="24"/>
          <w:szCs w:val="24"/>
        </w:rPr>
      </w:pPr>
    </w:p>
    <w:p w:rsidR="00B3631F" w:rsidRPr="00C44116" w:rsidRDefault="001D2415" w:rsidP="00B3631F">
      <w:pPr>
        <w:pStyle w:val="BGNormal"/>
        <w:spacing w:before="120" w:line="240" w:lineRule="auto"/>
        <w:jc w:val="right"/>
        <w:rPr>
          <w:rFonts w:ascii="Times New Roman" w:hAnsi="Times New Roman"/>
          <w:b/>
          <w:sz w:val="24"/>
          <w:szCs w:val="24"/>
        </w:rPr>
      </w:pPr>
      <w:r w:rsidRPr="00C44116">
        <w:rPr>
          <w:rFonts w:ascii="Times New Roman" w:hAnsi="Times New Roman"/>
          <w:b/>
          <w:sz w:val="24"/>
          <w:szCs w:val="24"/>
        </w:rPr>
        <w:t>APPLICANT</w:t>
      </w:r>
      <w:r w:rsidR="00D516FC" w:rsidRPr="00C44116">
        <w:rPr>
          <w:rFonts w:ascii="Times New Roman" w:hAnsi="Times New Roman"/>
          <w:b/>
          <w:sz w:val="24"/>
          <w:szCs w:val="24"/>
        </w:rPr>
        <w:t>S</w:t>
      </w:r>
      <w:r w:rsidRPr="00C44116">
        <w:rPr>
          <w:rFonts w:ascii="Times New Roman" w:hAnsi="Times New Roman"/>
          <w:b/>
          <w:sz w:val="24"/>
          <w:szCs w:val="24"/>
        </w:rPr>
        <w:t>’</w:t>
      </w:r>
      <w:r w:rsidR="00D516FC" w:rsidRPr="00C44116">
        <w:rPr>
          <w:rFonts w:ascii="Times New Roman" w:hAnsi="Times New Roman"/>
          <w:b/>
          <w:sz w:val="24"/>
          <w:szCs w:val="24"/>
        </w:rPr>
        <w:t xml:space="preserve"> COUNSEL</w:t>
      </w:r>
    </w:p>
    <w:p w:rsidR="00780456" w:rsidRPr="00C44116" w:rsidRDefault="00780456" w:rsidP="00D764DC">
      <w:pPr>
        <w:pStyle w:val="BGNormal"/>
        <w:spacing w:before="120" w:line="240" w:lineRule="auto"/>
        <w:jc w:val="right"/>
        <w:rPr>
          <w:rFonts w:ascii="Times New Roman" w:hAnsi="Times New Roman"/>
          <w:b/>
          <w:sz w:val="24"/>
          <w:szCs w:val="24"/>
        </w:rPr>
      </w:pPr>
      <w:r w:rsidRPr="00C44116">
        <w:rPr>
          <w:rFonts w:ascii="Times New Roman" w:hAnsi="Times New Roman"/>
          <w:b/>
          <w:sz w:val="24"/>
          <w:szCs w:val="24"/>
        </w:rPr>
        <w:t>PORT ELIZABETH</w:t>
      </w:r>
    </w:p>
    <w:p w:rsidR="00891E74" w:rsidRPr="00C44116" w:rsidRDefault="001D5C9E" w:rsidP="00D764DC">
      <w:pPr>
        <w:pStyle w:val="BGNormal"/>
        <w:spacing w:before="120" w:line="240" w:lineRule="auto"/>
        <w:jc w:val="right"/>
        <w:rPr>
          <w:rFonts w:ascii="Times New Roman" w:hAnsi="Times New Roman"/>
          <w:b/>
          <w:sz w:val="24"/>
          <w:szCs w:val="24"/>
        </w:rPr>
      </w:pPr>
      <w:r w:rsidRPr="00C44116">
        <w:rPr>
          <w:rFonts w:ascii="Times New Roman" w:hAnsi="Times New Roman"/>
          <w:b/>
          <w:sz w:val="24"/>
          <w:szCs w:val="24"/>
        </w:rPr>
        <w:t>1</w:t>
      </w:r>
      <w:r w:rsidR="00780456" w:rsidRPr="00C44116">
        <w:rPr>
          <w:rFonts w:ascii="Times New Roman" w:hAnsi="Times New Roman"/>
          <w:b/>
          <w:sz w:val="24"/>
          <w:szCs w:val="24"/>
        </w:rPr>
        <w:t>8</w:t>
      </w:r>
      <w:r w:rsidR="00D516FC" w:rsidRPr="00C44116">
        <w:rPr>
          <w:rFonts w:ascii="Times New Roman" w:hAnsi="Times New Roman"/>
          <w:b/>
          <w:sz w:val="24"/>
          <w:szCs w:val="24"/>
        </w:rPr>
        <w:t xml:space="preserve"> </w:t>
      </w:r>
      <w:r w:rsidRPr="00C44116">
        <w:rPr>
          <w:rFonts w:ascii="Times New Roman" w:hAnsi="Times New Roman"/>
          <w:b/>
          <w:sz w:val="24"/>
          <w:szCs w:val="24"/>
        </w:rPr>
        <w:t xml:space="preserve">MAY </w:t>
      </w:r>
      <w:r w:rsidR="00B3631F" w:rsidRPr="00C44116">
        <w:rPr>
          <w:rFonts w:ascii="Times New Roman" w:hAnsi="Times New Roman"/>
          <w:b/>
          <w:sz w:val="24"/>
          <w:szCs w:val="24"/>
        </w:rPr>
        <w:t>2017</w:t>
      </w:r>
    </w:p>
    <w:p w:rsidR="001D5C9E" w:rsidRPr="00C44116" w:rsidRDefault="001D5C9E" w:rsidP="00D764DC">
      <w:pPr>
        <w:pStyle w:val="BGNormal"/>
        <w:spacing w:before="120" w:line="240" w:lineRule="auto"/>
        <w:jc w:val="right"/>
        <w:rPr>
          <w:rFonts w:ascii="Times New Roman" w:hAnsi="Times New Roman"/>
          <w:b/>
          <w:sz w:val="24"/>
          <w:szCs w:val="24"/>
        </w:rPr>
      </w:pPr>
    </w:p>
    <w:sectPr w:rsidR="001D5C9E" w:rsidRPr="00C44116" w:rsidSect="00093CF4">
      <w:headerReference w:type="even" r:id="rId8"/>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E4" w:rsidRDefault="00E606E4">
      <w:r>
        <w:separator/>
      </w:r>
    </w:p>
  </w:endnote>
  <w:endnote w:type="continuationSeparator" w:id="0">
    <w:p w:rsidR="00E606E4" w:rsidRDefault="00E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5E" w:rsidRDefault="00D56C5E">
    <w:pPr>
      <w:pStyle w:val="Footer"/>
    </w:pPr>
  </w:p>
  <w:p w:rsidR="00D56C5E" w:rsidRDefault="00D5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E4" w:rsidRDefault="00E606E4">
      <w:r>
        <w:separator/>
      </w:r>
    </w:p>
  </w:footnote>
  <w:footnote w:type="continuationSeparator" w:id="0">
    <w:p w:rsidR="00E606E4" w:rsidRDefault="00E606E4">
      <w:r>
        <w:continuationSeparator/>
      </w:r>
    </w:p>
  </w:footnote>
  <w:footnote w:id="1">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The respondents correctly do not suggest that international law as reflected in principle by a key decision of the I</w:t>
      </w:r>
      <w:r w:rsidR="00B806FF" w:rsidRPr="00C44116">
        <w:rPr>
          <w:rFonts w:ascii="Times New Roman" w:hAnsi="Times New Roman"/>
        </w:rPr>
        <w:t xml:space="preserve">nternational </w:t>
      </w:r>
      <w:r w:rsidRPr="00C44116">
        <w:rPr>
          <w:rFonts w:ascii="Times New Roman" w:hAnsi="Times New Roman"/>
        </w:rPr>
        <w:t>C</w:t>
      </w:r>
      <w:r w:rsidR="00B806FF" w:rsidRPr="00C44116">
        <w:rPr>
          <w:rFonts w:ascii="Times New Roman" w:hAnsi="Times New Roman"/>
        </w:rPr>
        <w:t xml:space="preserve">ourt of </w:t>
      </w:r>
      <w:r w:rsidRPr="00C44116">
        <w:rPr>
          <w:rFonts w:ascii="Times New Roman" w:hAnsi="Times New Roman"/>
        </w:rPr>
        <w:t>J</w:t>
      </w:r>
      <w:r w:rsidR="00B806FF" w:rsidRPr="00C44116">
        <w:rPr>
          <w:rFonts w:ascii="Times New Roman" w:hAnsi="Times New Roman"/>
        </w:rPr>
        <w:t>ustice (Advisory Opinion on the Status of Western Sahar</w:t>
      </w:r>
      <w:r w:rsidR="002F4749">
        <w:rPr>
          <w:rFonts w:ascii="Times New Roman" w:hAnsi="Times New Roman"/>
        </w:rPr>
        <w:t>a</w:t>
      </w:r>
      <w:r w:rsidR="00B806FF" w:rsidRPr="00C44116">
        <w:rPr>
          <w:rFonts w:ascii="Times New Roman" w:hAnsi="Times New Roman"/>
        </w:rPr>
        <w:t>, 16 October 1975)</w:t>
      </w:r>
      <w:r w:rsidRPr="00C44116">
        <w:rPr>
          <w:rFonts w:ascii="Times New Roman" w:hAnsi="Times New Roman"/>
        </w:rPr>
        <w:t xml:space="preserve"> is inconsistent with the Constitution or an Act of Parliament</w:t>
      </w:r>
    </w:p>
  </w:footnote>
  <w:footnote w:id="2">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Answering affidavit para 6, record pg 366.</w:t>
      </w:r>
    </w:p>
  </w:footnote>
  <w:footnote w:id="3">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To the extent that it may be suggested that Moroccan government’s conduct is an issue, it is not different to the countless court proceedings dealing with </w:t>
      </w:r>
      <w:r w:rsidR="00B806FF" w:rsidRPr="00C44116">
        <w:rPr>
          <w:rFonts w:ascii="Times New Roman" w:hAnsi="Times New Roman"/>
        </w:rPr>
        <w:t xml:space="preserve">for example </w:t>
      </w:r>
      <w:r w:rsidRPr="00C44116">
        <w:rPr>
          <w:rFonts w:ascii="Times New Roman" w:hAnsi="Times New Roman"/>
        </w:rPr>
        <w:t>refugee claims (every claim effectively involves the lawfulness of a foreign state’s conduct), extradition applications, and applications for mutual legal assistance and/or applications for diplomatic protection involving the international minimum standard.</w:t>
      </w:r>
    </w:p>
  </w:footnote>
  <w:footnote w:id="4">
    <w:p w:rsidR="00A35BD1" w:rsidRPr="00C44116" w:rsidRDefault="00A35BD1">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Founding affidavit para 30, record pg 18.</w:t>
      </w:r>
    </w:p>
  </w:footnote>
  <w:footnote w:id="5">
    <w:p w:rsidR="00893CDA" w:rsidRPr="00C44116" w:rsidRDefault="00893CDA">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See para 185 of the opinion</w:t>
      </w:r>
      <w:r w:rsidR="002F4749">
        <w:rPr>
          <w:rFonts w:ascii="Times New Roman" w:hAnsi="Times New Roman"/>
        </w:rPr>
        <w:t xml:space="preserve"> (respondents’ bundle pg 50-51)</w:t>
      </w:r>
      <w:r w:rsidRPr="00C44116">
        <w:rPr>
          <w:rFonts w:ascii="Times New Roman" w:hAnsi="Times New Roman"/>
        </w:rPr>
        <w:t xml:space="preserve">, read with the resolutions cited at footnote 84 </w:t>
      </w:r>
      <w:r w:rsidR="002F4749">
        <w:rPr>
          <w:rFonts w:ascii="Times New Roman" w:hAnsi="Times New Roman"/>
        </w:rPr>
        <w:t xml:space="preserve">(respondents’ bundle pg 74) </w:t>
      </w:r>
      <w:r w:rsidRPr="00C44116">
        <w:rPr>
          <w:rFonts w:ascii="Times New Roman" w:hAnsi="Times New Roman"/>
        </w:rPr>
        <w:t xml:space="preserve">which </w:t>
      </w:r>
      <w:r w:rsidR="002F4749">
        <w:rPr>
          <w:rFonts w:ascii="Times New Roman" w:hAnsi="Times New Roman"/>
        </w:rPr>
        <w:t xml:space="preserve">resolutions </w:t>
      </w:r>
      <w:r w:rsidRPr="00C44116">
        <w:rPr>
          <w:rFonts w:ascii="Times New Roman" w:hAnsi="Times New Roman"/>
        </w:rPr>
        <w:t>are annexed to the founding affidavit at record pg 150 (34/37) and pg 251 (35/19) and where Polisario is described as the “</w:t>
      </w:r>
      <w:r w:rsidRPr="00C44116">
        <w:rPr>
          <w:rFonts w:ascii="Times New Roman" w:hAnsi="Times New Roman"/>
          <w:i/>
        </w:rPr>
        <w:t>representative of the people of Western Sahara</w:t>
      </w:r>
      <w:r w:rsidRPr="00C44116">
        <w:rPr>
          <w:rFonts w:ascii="Times New Roman" w:hAnsi="Times New Roman"/>
        </w:rPr>
        <w:t>” without any limitation.</w:t>
      </w:r>
    </w:p>
  </w:footnote>
  <w:footnote w:id="6">
    <w:p w:rsidR="00893CDA" w:rsidRPr="00C44116" w:rsidRDefault="00893CDA">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000E69E4" w:rsidRPr="00C44116">
        <w:rPr>
          <w:rFonts w:ascii="Times New Roman" w:hAnsi="Times New Roman"/>
        </w:rPr>
        <w:t xml:space="preserve">See paras 105-106 of the judgment, Applicants’ Authorities Bundle </w:t>
      </w:r>
      <w:r w:rsidR="002F4749">
        <w:rPr>
          <w:rFonts w:ascii="Times New Roman" w:hAnsi="Times New Roman"/>
        </w:rPr>
        <w:t xml:space="preserve">Vol 1 </w:t>
      </w:r>
      <w:r w:rsidR="000E69E4" w:rsidRPr="00C44116">
        <w:rPr>
          <w:rFonts w:ascii="Times New Roman" w:hAnsi="Times New Roman"/>
        </w:rPr>
        <w:t xml:space="preserve">pg 175.  </w:t>
      </w:r>
      <w:r w:rsidRPr="00C44116">
        <w:rPr>
          <w:rFonts w:ascii="Times New Roman" w:hAnsi="Times New Roman"/>
          <w:lang w:val="en-ZA"/>
        </w:rPr>
        <w:t xml:space="preserve">Of course, to the extent that the respondents rely upon this opinion, then they should accept also the several findings in the opinion which support the applicants. </w:t>
      </w:r>
      <w:r w:rsidR="002F4749">
        <w:rPr>
          <w:rFonts w:ascii="Times New Roman" w:hAnsi="Times New Roman"/>
          <w:lang w:val="en-ZA"/>
        </w:rPr>
        <w:t xml:space="preserve"> </w:t>
      </w:r>
      <w:r w:rsidR="00C97BAD" w:rsidRPr="00C44116">
        <w:rPr>
          <w:rFonts w:ascii="Times New Roman" w:hAnsi="Times New Roman"/>
          <w:lang w:val="en-ZA"/>
        </w:rPr>
        <w:t xml:space="preserve">For example </w:t>
      </w:r>
      <w:r w:rsidR="002F4749">
        <w:rPr>
          <w:rFonts w:ascii="Times New Roman" w:hAnsi="Times New Roman"/>
          <w:lang w:val="en-ZA"/>
        </w:rPr>
        <w:t xml:space="preserve">at paras 72-73 the opinion </w:t>
      </w:r>
      <w:r w:rsidR="00C97BAD" w:rsidRPr="00C44116">
        <w:rPr>
          <w:rFonts w:ascii="Times New Roman" w:hAnsi="Times New Roman"/>
          <w:lang w:val="en-ZA"/>
        </w:rPr>
        <w:t>state</w:t>
      </w:r>
      <w:r w:rsidR="002F4749">
        <w:rPr>
          <w:rFonts w:ascii="Times New Roman" w:hAnsi="Times New Roman"/>
          <w:lang w:val="en-ZA"/>
        </w:rPr>
        <w:t>s</w:t>
      </w:r>
      <w:r w:rsidR="00C97BAD" w:rsidRPr="00C44116">
        <w:rPr>
          <w:rFonts w:ascii="Times New Roman" w:hAnsi="Times New Roman"/>
          <w:lang w:val="en-ZA"/>
        </w:rPr>
        <w:t xml:space="preserve"> that Western Sahara is </w:t>
      </w:r>
      <w:r w:rsidR="00C97BAD" w:rsidRPr="00C44116">
        <w:rPr>
          <w:rFonts w:ascii="Times New Roman" w:hAnsi="Times New Roman"/>
          <w:u w:val="single"/>
          <w:lang w:val="en-ZA"/>
        </w:rPr>
        <w:t>not</w:t>
      </w:r>
      <w:r w:rsidR="00C97BAD" w:rsidRPr="00C44116">
        <w:rPr>
          <w:rFonts w:ascii="Times New Roman" w:hAnsi="Times New Roman"/>
          <w:lang w:val="en-ZA"/>
        </w:rPr>
        <w:t xml:space="preserve"> a territory whose international status is undeterm</w:t>
      </w:r>
      <w:r w:rsidR="002F4749">
        <w:rPr>
          <w:rFonts w:ascii="Times New Roman" w:hAnsi="Times New Roman"/>
          <w:lang w:val="en-ZA"/>
        </w:rPr>
        <w:t>ined</w:t>
      </w:r>
      <w:r w:rsidR="00C97BAD" w:rsidRPr="00C44116">
        <w:rPr>
          <w:rFonts w:ascii="Times New Roman" w:hAnsi="Times New Roman"/>
          <w:lang w:val="en-ZA"/>
        </w:rPr>
        <w:t xml:space="preserve">, and it is not </w:t>
      </w:r>
      <w:r w:rsidR="002F4749">
        <w:rPr>
          <w:rFonts w:ascii="Times New Roman" w:hAnsi="Times New Roman"/>
          <w:lang w:val="en-ZA"/>
        </w:rPr>
        <w:t xml:space="preserve">a “disputed territory” </w:t>
      </w:r>
      <w:r w:rsidR="002F4749">
        <w:rPr>
          <w:rFonts w:ascii="Times New Roman" w:hAnsi="Times New Roman"/>
        </w:rPr>
        <w:t>(respondents’ bundle pg 39)</w:t>
      </w:r>
      <w:r w:rsidR="00C97BAD" w:rsidRPr="00C44116">
        <w:rPr>
          <w:rFonts w:ascii="Times New Roman" w:hAnsi="Times New Roman"/>
          <w:lang w:val="en-ZA"/>
        </w:rPr>
        <w:t>.</w:t>
      </w:r>
    </w:p>
  </w:footnote>
  <w:footnote w:id="7">
    <w:p w:rsidR="00A35BD1" w:rsidRPr="00C44116" w:rsidRDefault="00A35BD1">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See heads para</w:t>
      </w:r>
      <w:r w:rsidR="00671335" w:rsidRPr="00C44116">
        <w:rPr>
          <w:rFonts w:ascii="Times New Roman" w:hAnsi="Times New Roman"/>
          <w:lang w:val="en-ZA"/>
        </w:rPr>
        <w:t>s</w:t>
      </w:r>
      <w:r w:rsidRPr="00C44116">
        <w:rPr>
          <w:rFonts w:ascii="Times New Roman" w:hAnsi="Times New Roman"/>
          <w:lang w:val="en-ZA"/>
        </w:rPr>
        <w:t xml:space="preserve"> 43</w:t>
      </w:r>
      <w:r w:rsidR="00671335" w:rsidRPr="00C44116">
        <w:rPr>
          <w:rFonts w:ascii="Times New Roman" w:hAnsi="Times New Roman"/>
          <w:lang w:val="en-ZA"/>
        </w:rPr>
        <w:t xml:space="preserve"> and 79</w:t>
      </w:r>
      <w:r w:rsidRPr="00C44116">
        <w:rPr>
          <w:rFonts w:ascii="Times New Roman" w:hAnsi="Times New Roman"/>
          <w:lang w:val="en-ZA"/>
        </w:rPr>
        <w:t>.</w:t>
      </w:r>
    </w:p>
  </w:footnote>
  <w:footnote w:id="8">
    <w:p w:rsidR="00A346A3" w:rsidRPr="00C44116" w:rsidRDefault="00A346A3">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i/>
          <w:lang w:val="en-ZA"/>
        </w:rPr>
        <w:t xml:space="preserve">Police and Prisons Civil Rights Union and Others v Minister of Correctional Services and Others </w:t>
      </w:r>
      <w:r w:rsidRPr="00C44116">
        <w:rPr>
          <w:rFonts w:ascii="Times New Roman" w:hAnsi="Times New Roman"/>
          <w:lang w:val="en-ZA"/>
        </w:rPr>
        <w:t xml:space="preserve">[2006] 2 All SA 175 (E) at footnote 29, Applicants’ Authorities Bundle Vol 3 pg 454. </w:t>
      </w:r>
      <w:r w:rsidRPr="00C44116">
        <w:rPr>
          <w:rFonts w:ascii="Times New Roman" w:hAnsi="Times New Roman"/>
          <w:i/>
        </w:rPr>
        <w:t xml:space="preserve">Chief Lesapo v North West Agricultural Bank and Another </w:t>
      </w:r>
      <w:r w:rsidRPr="00C44116">
        <w:rPr>
          <w:rFonts w:ascii="Times New Roman" w:hAnsi="Times New Roman"/>
        </w:rPr>
        <w:t>2000 (1) SA 409 (CC) at</w:t>
      </w:r>
      <w:r w:rsidRPr="00C44116">
        <w:rPr>
          <w:rFonts w:ascii="Times New Roman" w:hAnsi="Times New Roman"/>
          <w:i/>
        </w:rPr>
        <w:t xml:space="preserve"> </w:t>
      </w:r>
      <w:r w:rsidRPr="00C44116">
        <w:rPr>
          <w:rFonts w:ascii="Times New Roman" w:hAnsi="Times New Roman"/>
        </w:rPr>
        <w:t>13-16.</w:t>
      </w:r>
    </w:p>
  </w:footnote>
  <w:footnote w:id="9">
    <w:p w:rsidR="00A346A3" w:rsidRPr="00C44116" w:rsidRDefault="00A346A3">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00C44116" w:rsidRPr="00C44116">
        <w:rPr>
          <w:rFonts w:ascii="Times New Roman" w:hAnsi="Times New Roman"/>
          <w:i/>
          <w:lang w:val="en-ZA"/>
        </w:rPr>
        <w:t xml:space="preserve">Kuwait Airways Corp v Iraqi Airways Co and others </w:t>
      </w:r>
      <w:r w:rsidR="00C44116" w:rsidRPr="00C44116">
        <w:rPr>
          <w:rFonts w:ascii="Times New Roman" w:hAnsi="Times New Roman"/>
          <w:lang w:val="en-ZA"/>
        </w:rPr>
        <w:t>[1995] 3 All ER (HL)</w:t>
      </w:r>
      <w:r w:rsidR="00C44116" w:rsidRPr="00C44116">
        <w:rPr>
          <w:rFonts w:ascii="Times New Roman" w:hAnsi="Times New Roman"/>
        </w:rPr>
        <w:t xml:space="preserve">, Authorities Bundle Vol 1 pg 180 and </w:t>
      </w:r>
      <w:r w:rsidR="00C44116" w:rsidRPr="00C44116">
        <w:rPr>
          <w:rFonts w:ascii="Times New Roman" w:hAnsi="Times New Roman"/>
          <w:bCs/>
          <w:i/>
          <w:shd w:val="clear" w:color="auto" w:fill="FFFFFF"/>
        </w:rPr>
        <w:t>Kuwait Airways Corp v Iraqi Airways Co (No 3)</w:t>
      </w:r>
      <w:r w:rsidR="00C44116" w:rsidRPr="00C44116">
        <w:rPr>
          <w:rFonts w:ascii="Times New Roman" w:hAnsi="Times New Roman"/>
          <w:bCs/>
          <w:shd w:val="clear" w:color="auto" w:fill="FFFFFF"/>
        </w:rPr>
        <w:t xml:space="preserve"> [2002] 3 All ER 209 (HL), Authorities Bundle Vol1 pg </w:t>
      </w:r>
      <w:r w:rsidR="00C44116" w:rsidRPr="00C44116">
        <w:rPr>
          <w:rFonts w:ascii="Times New Roman" w:hAnsi="Times New Roman"/>
        </w:rPr>
        <w:t>195.</w:t>
      </w:r>
    </w:p>
  </w:footnote>
  <w:footnote w:id="10">
    <w:p w:rsidR="006E161B" w:rsidRPr="00C44116" w:rsidRDefault="006E161B">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i/>
          <w:lang w:val="en-ZA"/>
        </w:rPr>
        <w:t>Chief Lesapo supra</w:t>
      </w:r>
      <w:r w:rsidRPr="00C44116">
        <w:rPr>
          <w:rFonts w:ascii="Times New Roman" w:hAnsi="Times New Roman"/>
          <w:lang w:val="en-ZA"/>
        </w:rPr>
        <w:t>.</w:t>
      </w:r>
    </w:p>
  </w:footnote>
  <w:footnote w:id="11">
    <w:p w:rsidR="006E161B" w:rsidRPr="00C44116" w:rsidRDefault="006E161B">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This Court is not provided with any information regarding: the manner in which mineral rights were purportedly allocated to Phosboucraa; the terms of the sale between Phosboucraa and Ballance; the incidence of risk; the chartering arrangements; the quantity of phosphate on board etc.  This information is peculiarly within the knowledge of the respondents.  Ultimately this failure redounds to the prejudice of the respondents, as this Court is left with an incomplete understanding of the issues which may arise at trial, and presently only one claim to the ownership in the cargo, being that of the applicants.</w:t>
      </w:r>
    </w:p>
  </w:footnote>
  <w:footnote w:id="12">
    <w:p w:rsidR="006E161B" w:rsidRPr="00C44116" w:rsidRDefault="006E161B" w:rsidP="00BC5CC3">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In relation to the common law, the Constitution states in section 173 that the courts have the inherent power to develop the common law taking into account the interests of justice.</w:t>
      </w:r>
    </w:p>
  </w:footnote>
  <w:footnote w:id="13">
    <w:p w:rsidR="00BC5CC3" w:rsidRPr="00C44116" w:rsidRDefault="00BC5CC3" w:rsidP="00BC5CC3">
      <w:pPr>
        <w:pStyle w:val="lg-section"/>
        <w:spacing w:before="0"/>
        <w:ind w:firstLine="0"/>
        <w:rPr>
          <w:rFonts w:ascii="Times New Roman" w:hAnsi="Times New Roman"/>
          <w:sz w:val="20"/>
          <w:szCs w:val="20"/>
        </w:rPr>
      </w:pPr>
      <w:r w:rsidRPr="00C44116">
        <w:rPr>
          <w:rStyle w:val="FootnoteReference"/>
          <w:rFonts w:ascii="Times New Roman" w:hAnsi="Times New Roman"/>
          <w:sz w:val="20"/>
          <w:szCs w:val="20"/>
        </w:rPr>
        <w:footnoteRef/>
      </w:r>
      <w:r w:rsidRPr="00C44116">
        <w:rPr>
          <w:rFonts w:ascii="Times New Roman" w:hAnsi="Times New Roman"/>
          <w:sz w:val="20"/>
          <w:szCs w:val="20"/>
        </w:rPr>
        <w:t xml:space="preserve"> A Division has jurisdiction over all persons residing or being in, and in relation to all causes arising and all offences triable within, its area of jurisdiction and all other matters of which it may according to law take cognisance, and has the power— … in its discretion, and at the instance of any interested person, to enquire into and determine any existing, future or contingent right or obligation, notwithstanding that such person cannot claim any relief consequential upon the determination</w:t>
      </w:r>
    </w:p>
    <w:p w:rsidR="00BC5CC3" w:rsidRPr="00C44116" w:rsidRDefault="00BC5CC3">
      <w:pPr>
        <w:pStyle w:val="FootnoteText"/>
        <w:rPr>
          <w:rFonts w:ascii="Times New Roman" w:hAnsi="Times New Roman"/>
          <w:lang w:val="en-ZA"/>
        </w:rPr>
      </w:pPr>
    </w:p>
  </w:footnote>
  <w:footnote w:id="14">
    <w:p w:rsidR="00D56C5E" w:rsidRPr="00C44116" w:rsidRDefault="00D56C5E" w:rsidP="00BE6D71">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At 334E, Applicants’ Authorities Bundle Vol 1 pg 46.</w:t>
      </w:r>
    </w:p>
  </w:footnote>
  <w:footnote w:id="15">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i/>
        </w:rPr>
        <w:t xml:space="preserve">S v Banda </w:t>
      </w:r>
      <w:r w:rsidRPr="00C44116">
        <w:rPr>
          <w:rFonts w:ascii="Times New Roman" w:hAnsi="Times New Roman"/>
        </w:rPr>
        <w:t>1989 (4) SA 519 (BGD).</w:t>
      </w:r>
    </w:p>
  </w:footnote>
  <w:footnote w:id="16">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i/>
        </w:rPr>
        <w:t xml:space="preserve">Fischer and another v Ramahlele and Others </w:t>
      </w:r>
      <w:r w:rsidRPr="00C44116">
        <w:rPr>
          <w:rFonts w:ascii="Times New Roman" w:hAnsi="Times New Roman"/>
        </w:rPr>
        <w:t>2014 (4) SA 614 (SCA) at [13], Applicants’ Authorities Bundle Vol 3 pg 426.</w:t>
      </w:r>
    </w:p>
  </w:footnote>
  <w:footnote w:id="17">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i/>
          <w:lang w:val="en-ZA"/>
        </w:rPr>
        <w:t xml:space="preserve">Police and Prisons Civil Rights Union and Others v Minister of Correctional Services and Others </w:t>
      </w:r>
      <w:r w:rsidRPr="00C44116">
        <w:rPr>
          <w:rFonts w:ascii="Times New Roman" w:hAnsi="Times New Roman"/>
          <w:lang w:val="en-ZA"/>
        </w:rPr>
        <w:t>[2006] 2 All SA 175 (E) at footnote 29, Applicants’ Authorities Bundle Vol 3 pg 454.</w:t>
      </w:r>
    </w:p>
  </w:footnote>
  <w:footnote w:id="18">
    <w:p w:rsidR="00CA3548" w:rsidRPr="00C44116" w:rsidRDefault="00CA3548">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Applicants’ Authorities Bundle Vol 1 pg 214.</w:t>
      </w:r>
    </w:p>
  </w:footnote>
  <w:footnote w:id="19">
    <w:p w:rsidR="000E0F53" w:rsidRPr="00C44116" w:rsidRDefault="000E0F53">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i/>
          <w:lang w:val="en-ZA"/>
        </w:rPr>
        <w:t xml:space="preserve">Per Neuberger </w:t>
      </w:r>
      <w:r w:rsidRPr="00C44116">
        <w:rPr>
          <w:rFonts w:ascii="Times New Roman" w:hAnsi="Times New Roman"/>
          <w:lang w:val="en-ZA"/>
        </w:rPr>
        <w:t xml:space="preserve">[168], Applicants’ Authorities Bundle </w:t>
      </w:r>
      <w:r w:rsidR="002F4749">
        <w:rPr>
          <w:rFonts w:ascii="Times New Roman" w:hAnsi="Times New Roman"/>
          <w:lang w:val="en-ZA"/>
        </w:rPr>
        <w:t xml:space="preserve">Vol 1 </w:t>
      </w:r>
      <w:r w:rsidRPr="00C44116">
        <w:rPr>
          <w:rFonts w:ascii="Times New Roman" w:hAnsi="Times New Roman"/>
          <w:lang w:val="en-ZA"/>
        </w:rPr>
        <w:t>pg 129.</w:t>
      </w:r>
      <w:r w:rsidRPr="00C44116">
        <w:rPr>
          <w:rFonts w:ascii="Times New Roman" w:hAnsi="Times New Roman"/>
          <w:i/>
          <w:lang w:val="en-ZA"/>
        </w:rPr>
        <w:t xml:space="preserve"> </w:t>
      </w:r>
    </w:p>
  </w:footnote>
  <w:footnote w:id="20">
    <w:p w:rsidR="007C1E96" w:rsidRPr="00C44116" w:rsidRDefault="007C1E96" w:rsidP="007C1E96">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Paras 233ff, record pg 71.</w:t>
      </w:r>
    </w:p>
  </w:footnote>
  <w:footnote w:id="21">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See para 25, founding affidavit annexure “RSB13”, record pg 147.</w:t>
      </w:r>
      <w:r w:rsidR="000E69E4" w:rsidRPr="00C44116">
        <w:rPr>
          <w:rFonts w:ascii="Times New Roman" w:hAnsi="Times New Roman"/>
        </w:rPr>
        <w:t xml:space="preserve">  Para 52.4 of the respondents’ heads claims to be a quote of paras 24-25 of the Corell opinion but is in fact only para 24.</w:t>
      </w:r>
    </w:p>
  </w:footnote>
  <w:footnote w:id="22">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See respondents’ heads at para 53, footnote 75. </w:t>
      </w:r>
      <w:r w:rsidRPr="00C44116">
        <w:rPr>
          <w:rFonts w:ascii="Times New Roman" w:hAnsi="Times New Roman"/>
          <w:lang w:val="en-ZA"/>
        </w:rPr>
        <w:t>Applicants’ Authorities Bundle Vol 3 pg 471.</w:t>
      </w:r>
    </w:p>
  </w:footnote>
  <w:footnote w:id="23">
    <w:p w:rsidR="00F25DD3" w:rsidRPr="00C44116" w:rsidRDefault="00F25DD3">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Applicants’ Authorities Bundle Vol 3, pg 464.</w:t>
      </w:r>
    </w:p>
  </w:footnote>
  <w:footnote w:id="24">
    <w:p w:rsidR="006E161B" w:rsidRPr="00C44116" w:rsidRDefault="006E161B">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 xml:space="preserve">The suggestion in paragraph 66 of the respondents’ heads that </w:t>
      </w:r>
      <w:r w:rsidRPr="00C44116">
        <w:rPr>
          <w:rFonts w:ascii="Times New Roman" w:hAnsi="Times New Roman"/>
          <w:i/>
          <w:lang w:val="en-ZA"/>
        </w:rPr>
        <w:t xml:space="preserve">Swissborough </w:t>
      </w:r>
      <w:r w:rsidRPr="00C44116">
        <w:rPr>
          <w:rFonts w:ascii="Times New Roman" w:hAnsi="Times New Roman"/>
          <w:lang w:val="en-ZA"/>
        </w:rPr>
        <w:t xml:space="preserve">“has been consistently referred to and approved by our Courts” is, in the context of the issues in this case, not entirely accurate.  While it may be so that a Jutastat or Lexisnexis noter-up on </w:t>
      </w:r>
      <w:r w:rsidRPr="00C44116">
        <w:rPr>
          <w:rFonts w:ascii="Times New Roman" w:hAnsi="Times New Roman"/>
          <w:i/>
          <w:lang w:val="en-ZA"/>
        </w:rPr>
        <w:t xml:space="preserve">Swissborough </w:t>
      </w:r>
      <w:r w:rsidRPr="00C44116">
        <w:rPr>
          <w:rFonts w:ascii="Times New Roman" w:hAnsi="Times New Roman"/>
          <w:lang w:val="en-ZA"/>
        </w:rPr>
        <w:t xml:space="preserve">reveals that it has been cited with approval many times, only a handful of times has it been cited in this context. </w:t>
      </w:r>
    </w:p>
  </w:footnote>
  <w:footnote w:id="25">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Answering affidavit para 64.4, record pg 385.</w:t>
      </w:r>
    </w:p>
  </w:footnote>
  <w:footnote w:id="26">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Founding affidavit para 43, record pg 21.  Answering affidavit para 5, record pg 366.</w:t>
      </w:r>
    </w:p>
  </w:footnote>
  <w:footnote w:id="27">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Answering affidavit para 21, record pg 370.</w:t>
      </w:r>
    </w:p>
  </w:footnote>
  <w:footnote w:id="28">
    <w:p w:rsidR="00F641DE" w:rsidRPr="00C44116" w:rsidRDefault="00F641D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Dugard pg 26. </w:t>
      </w:r>
      <w:r w:rsidRPr="00C44116">
        <w:rPr>
          <w:rFonts w:ascii="Times New Roman" w:hAnsi="Times New Roman"/>
          <w:i/>
        </w:rPr>
        <w:t xml:space="preserve">S v Petane </w:t>
      </w:r>
      <w:r w:rsidRPr="00C44116">
        <w:rPr>
          <w:rFonts w:ascii="Times New Roman" w:hAnsi="Times New Roman"/>
        </w:rPr>
        <w:t>1988 (3) SA 51 (C), Applicants’ Authorities Bundle Vol2 pg 302.</w:t>
      </w:r>
    </w:p>
  </w:footnote>
  <w:footnote w:id="29">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 xml:space="preserve">See </w:t>
      </w:r>
      <w:r w:rsidRPr="00C44116">
        <w:rPr>
          <w:rFonts w:ascii="Times New Roman" w:hAnsi="Times New Roman"/>
          <w:i/>
          <w:lang w:val="en-ZA"/>
        </w:rPr>
        <w:t xml:space="preserve">Belhaj per </w:t>
      </w:r>
      <w:r w:rsidRPr="00C44116">
        <w:rPr>
          <w:rFonts w:ascii="Times New Roman" w:hAnsi="Times New Roman"/>
          <w:lang w:val="en-ZA"/>
        </w:rPr>
        <w:t xml:space="preserve">Lord Mance at [26] and </w:t>
      </w:r>
      <w:r w:rsidRPr="00C44116">
        <w:rPr>
          <w:rFonts w:ascii="Times New Roman" w:hAnsi="Times New Roman"/>
          <w:i/>
          <w:lang w:val="en-ZA"/>
        </w:rPr>
        <w:t xml:space="preserve">per </w:t>
      </w:r>
      <w:r w:rsidRPr="00C44116">
        <w:rPr>
          <w:rFonts w:ascii="Times New Roman" w:hAnsi="Times New Roman"/>
          <w:lang w:val="en-ZA"/>
        </w:rPr>
        <w:t>Lord Neuberger at [194-195], Applicants’ Authorities Bundle Vol 1 pg 99 and 134.</w:t>
      </w:r>
    </w:p>
  </w:footnote>
  <w:footnote w:id="30">
    <w:p w:rsidR="00D56C5E" w:rsidRPr="00C44116" w:rsidRDefault="00D56C5E">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i/>
          <w:lang w:val="en-ZA"/>
        </w:rPr>
        <w:t xml:space="preserve">Belhaj per </w:t>
      </w:r>
      <w:r w:rsidRPr="00C44116">
        <w:rPr>
          <w:rFonts w:ascii="Times New Roman" w:hAnsi="Times New Roman"/>
          <w:lang w:val="en-ZA"/>
        </w:rPr>
        <w:t xml:space="preserve">Lord Mance at [26] and </w:t>
      </w:r>
      <w:r w:rsidRPr="00C44116">
        <w:rPr>
          <w:rFonts w:ascii="Times New Roman" w:hAnsi="Times New Roman"/>
          <w:i/>
          <w:lang w:val="en-ZA"/>
        </w:rPr>
        <w:t xml:space="preserve">per </w:t>
      </w:r>
      <w:r w:rsidRPr="00C44116">
        <w:rPr>
          <w:rFonts w:ascii="Times New Roman" w:hAnsi="Times New Roman"/>
          <w:lang w:val="en-ZA"/>
        </w:rPr>
        <w:t>Lord Neuberger at [195-196], Applicants’ Authorities Bundle Vol 1 pg 99 and 134</w:t>
      </w:r>
      <w:r w:rsidR="001B3FBD" w:rsidRPr="00C44116">
        <w:rPr>
          <w:rFonts w:ascii="Times New Roman" w:hAnsi="Times New Roman"/>
          <w:lang w:val="en-ZA"/>
        </w:rPr>
        <w:t>-135</w:t>
      </w:r>
      <w:r w:rsidRPr="00C44116">
        <w:rPr>
          <w:rFonts w:ascii="Times New Roman" w:hAnsi="Times New Roman"/>
          <w:lang w:val="en-ZA"/>
        </w:rPr>
        <w:t>.</w:t>
      </w:r>
    </w:p>
  </w:footnote>
  <w:footnote w:id="31">
    <w:p w:rsidR="001B3FBD" w:rsidRPr="00C44116" w:rsidRDefault="001B3FBD">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See Lord Neuberger at [116], Applicants’ Authorities Bundle Vol 1 pg 123.</w:t>
      </w:r>
    </w:p>
  </w:footnote>
  <w:footnote w:id="32">
    <w:p w:rsidR="00EB77CD" w:rsidRPr="00791054" w:rsidRDefault="00EB77CD">
      <w:pPr>
        <w:pStyle w:val="FootnoteText"/>
        <w:rPr>
          <w:rFonts w:ascii="Times New Roman" w:hAnsi="Times New Roman"/>
          <w:lang w:val="en-ZA"/>
        </w:rPr>
      </w:pPr>
      <w:r w:rsidRPr="00C44116">
        <w:rPr>
          <w:rStyle w:val="FootnoteReference"/>
          <w:rFonts w:ascii="Times New Roman" w:hAnsi="Times New Roman"/>
        </w:rPr>
        <w:footnoteRef/>
      </w:r>
      <w:r w:rsidRPr="00C44116">
        <w:rPr>
          <w:rFonts w:ascii="Times New Roman" w:hAnsi="Times New Roman"/>
        </w:rPr>
        <w:t xml:space="preserve"> </w:t>
      </w:r>
      <w:r w:rsidRPr="00C44116">
        <w:rPr>
          <w:rFonts w:ascii="Times New Roman" w:hAnsi="Times New Roman"/>
          <w:lang w:val="en-ZA"/>
        </w:rPr>
        <w:t>At [193], Applicants’</w:t>
      </w:r>
      <w:r w:rsidR="00791054" w:rsidRPr="00C44116">
        <w:rPr>
          <w:rFonts w:ascii="Times New Roman" w:hAnsi="Times New Roman"/>
          <w:lang w:val="en-ZA"/>
        </w:rPr>
        <w:t xml:space="preserve"> Authorities Bun</w:t>
      </w:r>
      <w:r w:rsidRPr="00C44116">
        <w:rPr>
          <w:rFonts w:ascii="Times New Roman" w:hAnsi="Times New Roman"/>
          <w:lang w:val="en-ZA"/>
        </w:rPr>
        <w:t>d</w:t>
      </w:r>
      <w:r w:rsidR="00791054" w:rsidRPr="00C44116">
        <w:rPr>
          <w:rFonts w:ascii="Times New Roman" w:hAnsi="Times New Roman"/>
          <w:lang w:val="en-ZA"/>
        </w:rPr>
        <w:t>l</w:t>
      </w:r>
      <w:r w:rsidRPr="00C44116">
        <w:rPr>
          <w:rFonts w:ascii="Times New Roman" w:hAnsi="Times New Roman"/>
          <w:lang w:val="en-ZA"/>
        </w:rPr>
        <w:t>e</w:t>
      </w:r>
      <w:r w:rsidR="00C44116" w:rsidRPr="00C44116">
        <w:rPr>
          <w:rFonts w:ascii="Times New Roman" w:hAnsi="Times New Roman"/>
          <w:lang w:val="en-ZA"/>
        </w:rPr>
        <w:t xml:space="preserve"> Vol 1</w:t>
      </w:r>
      <w:r w:rsidRPr="00C44116">
        <w:rPr>
          <w:rFonts w:ascii="Times New Roman" w:hAnsi="Times New Roman"/>
          <w:lang w:val="en-ZA"/>
        </w:rPr>
        <w:t xml:space="preserve"> pg 134.  See also Lord Mance at [28] Applicants’ Authorities Bundle </w:t>
      </w:r>
      <w:r w:rsidR="00C44116" w:rsidRPr="00C44116">
        <w:rPr>
          <w:rFonts w:ascii="Times New Roman" w:hAnsi="Times New Roman"/>
          <w:lang w:val="en-ZA"/>
        </w:rPr>
        <w:t xml:space="preserve">Vol 1 </w:t>
      </w:r>
      <w:r w:rsidRPr="00C44116">
        <w:rPr>
          <w:rFonts w:ascii="Times New Roman" w:hAnsi="Times New Roman"/>
          <w:lang w:val="en-ZA"/>
        </w:rPr>
        <w:t>pg 99.</w:t>
      </w:r>
      <w:r w:rsidRPr="00791054">
        <w:rPr>
          <w:rFonts w:ascii="Times New Roman" w:hAnsi="Times New Roman"/>
          <w:lang w:val="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5E" w:rsidRDefault="00D56C5E" w:rsidP="007605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C5E" w:rsidRDefault="00D56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5E" w:rsidRPr="00F81002" w:rsidRDefault="00D56C5E" w:rsidP="00760507">
    <w:pPr>
      <w:pStyle w:val="Header"/>
      <w:framePr w:wrap="around" w:vAnchor="text" w:hAnchor="margin" w:xAlign="center" w:y="1"/>
      <w:rPr>
        <w:rStyle w:val="PageNumber"/>
        <w:rFonts w:ascii="Times New Roman" w:hAnsi="Times New Roman"/>
      </w:rPr>
    </w:pPr>
    <w:r w:rsidRPr="00F81002">
      <w:rPr>
        <w:rStyle w:val="PageNumber"/>
        <w:rFonts w:ascii="Times New Roman" w:hAnsi="Times New Roman"/>
      </w:rPr>
      <w:fldChar w:fldCharType="begin"/>
    </w:r>
    <w:r w:rsidRPr="00F81002">
      <w:rPr>
        <w:rStyle w:val="PageNumber"/>
        <w:rFonts w:ascii="Times New Roman" w:hAnsi="Times New Roman"/>
      </w:rPr>
      <w:instrText xml:space="preserve">PAGE  </w:instrText>
    </w:r>
    <w:r w:rsidRPr="00F81002">
      <w:rPr>
        <w:rStyle w:val="PageNumber"/>
        <w:rFonts w:ascii="Times New Roman" w:hAnsi="Times New Roman"/>
      </w:rPr>
      <w:fldChar w:fldCharType="separate"/>
    </w:r>
    <w:r w:rsidR="00C34BEC">
      <w:rPr>
        <w:rStyle w:val="PageNumber"/>
        <w:rFonts w:ascii="Times New Roman" w:hAnsi="Times New Roman"/>
        <w:noProof/>
      </w:rPr>
      <w:t>21</w:t>
    </w:r>
    <w:r w:rsidRPr="00F81002">
      <w:rPr>
        <w:rStyle w:val="PageNumber"/>
        <w:rFonts w:ascii="Times New Roman" w:hAnsi="Times New Roman"/>
      </w:rPr>
      <w:fldChar w:fldCharType="end"/>
    </w:r>
  </w:p>
  <w:p w:rsidR="00D56C5E" w:rsidRDefault="00D56C5E" w:rsidP="0016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AE4"/>
    <w:multiLevelType w:val="multilevel"/>
    <w:tmpl w:val="14AA3ED6"/>
    <w:lvl w:ilvl="0">
      <w:start w:val="1"/>
      <w:numFmt w:val="decimal"/>
      <w:lvlText w:val="%1."/>
      <w:lvlJc w:val="left"/>
      <w:pPr>
        <w:tabs>
          <w:tab w:val="num" w:pos="930"/>
        </w:tabs>
        <w:ind w:left="930" w:hanging="570"/>
      </w:pPr>
      <w:rPr>
        <w:rFonts w:cs="Times New Roman" w:hint="default"/>
      </w:rPr>
    </w:lvl>
    <w:lvl w:ilvl="1">
      <w:start w:val="1"/>
      <w:numFmt w:val="decimal"/>
      <w:isLgl/>
      <w:lvlText w:val="%1.%2"/>
      <w:lvlJc w:val="left"/>
      <w:pPr>
        <w:tabs>
          <w:tab w:val="num" w:pos="1425"/>
        </w:tabs>
        <w:ind w:left="1425" w:hanging="855"/>
      </w:pPr>
      <w:rPr>
        <w:rFonts w:cs="Times New Roman" w:hint="default"/>
      </w:rPr>
    </w:lvl>
    <w:lvl w:ilvl="2">
      <w:start w:val="1"/>
      <w:numFmt w:val="decimal"/>
      <w:isLgl/>
      <w:lvlText w:val="%1.%2.%3"/>
      <w:lvlJc w:val="left"/>
      <w:pPr>
        <w:tabs>
          <w:tab w:val="num" w:pos="1635"/>
        </w:tabs>
        <w:ind w:left="1635" w:hanging="855"/>
      </w:pPr>
      <w:rPr>
        <w:rFonts w:cs="Times New Roman" w:hint="default"/>
      </w:rPr>
    </w:lvl>
    <w:lvl w:ilvl="3">
      <w:start w:val="1"/>
      <w:numFmt w:val="decimal"/>
      <w:isLgl/>
      <w:lvlText w:val="%1.%2.%3.%4"/>
      <w:lvlJc w:val="left"/>
      <w:pPr>
        <w:tabs>
          <w:tab w:val="num" w:pos="2070"/>
        </w:tabs>
        <w:ind w:left="2070" w:hanging="108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850"/>
        </w:tabs>
        <w:ind w:left="2850" w:hanging="1440"/>
      </w:pPr>
      <w:rPr>
        <w:rFonts w:cs="Times New Roman" w:hint="default"/>
      </w:rPr>
    </w:lvl>
    <w:lvl w:ilvl="6">
      <w:start w:val="1"/>
      <w:numFmt w:val="decimal"/>
      <w:isLgl/>
      <w:lvlText w:val="%1.%2.%3.%4.%5.%6.%7"/>
      <w:lvlJc w:val="left"/>
      <w:pPr>
        <w:tabs>
          <w:tab w:val="num" w:pos="3060"/>
        </w:tabs>
        <w:ind w:left="3060" w:hanging="1440"/>
      </w:pPr>
      <w:rPr>
        <w:rFonts w:cs="Times New Roman" w:hint="default"/>
      </w:rPr>
    </w:lvl>
    <w:lvl w:ilvl="7">
      <w:start w:val="1"/>
      <w:numFmt w:val="decimal"/>
      <w:isLgl/>
      <w:lvlText w:val="%1.%2.%3.%4.%5.%6.%7.%8"/>
      <w:lvlJc w:val="left"/>
      <w:pPr>
        <w:tabs>
          <w:tab w:val="num" w:pos="3630"/>
        </w:tabs>
        <w:ind w:left="3630" w:hanging="1800"/>
      </w:pPr>
      <w:rPr>
        <w:rFonts w:cs="Times New Roman" w:hint="default"/>
      </w:rPr>
    </w:lvl>
    <w:lvl w:ilvl="8">
      <w:start w:val="1"/>
      <w:numFmt w:val="decimal"/>
      <w:isLgl/>
      <w:lvlText w:val="%1.%2.%3.%4.%5.%6.%7.%8.%9"/>
      <w:lvlJc w:val="left"/>
      <w:pPr>
        <w:tabs>
          <w:tab w:val="num" w:pos="3840"/>
        </w:tabs>
        <w:ind w:left="3840" w:hanging="1800"/>
      </w:pPr>
      <w:rPr>
        <w:rFonts w:cs="Times New Roman" w:hint="default"/>
      </w:rPr>
    </w:lvl>
  </w:abstractNum>
  <w:abstractNum w:abstractNumId="1" w15:restartNumberingAfterBreak="0">
    <w:nsid w:val="09E43142"/>
    <w:multiLevelType w:val="hybridMultilevel"/>
    <w:tmpl w:val="E97AA040"/>
    <w:lvl w:ilvl="0" w:tplc="CD8E5D0C">
      <w:start w:val="1"/>
      <w:numFmt w:val="lowerLetter"/>
      <w:lvlText w:val="(%1)"/>
      <w:lvlJc w:val="left"/>
      <w:pPr>
        <w:tabs>
          <w:tab w:val="num" w:pos="851"/>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52C623C"/>
    <w:multiLevelType w:val="multilevel"/>
    <w:tmpl w:val="7D9C25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701"/>
        </w:tabs>
        <w:ind w:left="1701" w:hanging="964"/>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3402"/>
        </w:tabs>
        <w:ind w:left="3402" w:hanging="850"/>
      </w:pPr>
      <w:rPr>
        <w:rFonts w:hint="default"/>
      </w:rPr>
    </w:lvl>
    <w:lvl w:ilvl="5">
      <w:start w:val="1"/>
      <w:numFmt w:val="decimal"/>
      <w:lvlText w:val="%1.%2.%3.%4.%5.%6."/>
      <w:lvlJc w:val="left"/>
      <w:pPr>
        <w:tabs>
          <w:tab w:val="num" w:pos="4536"/>
        </w:tabs>
        <w:ind w:left="4536" w:hanging="113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CD4B6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B311F2"/>
    <w:multiLevelType w:val="multilevel"/>
    <w:tmpl w:val="14AA3ED6"/>
    <w:lvl w:ilvl="0">
      <w:start w:val="1"/>
      <w:numFmt w:val="decimal"/>
      <w:lvlText w:val="%1."/>
      <w:lvlJc w:val="left"/>
      <w:pPr>
        <w:tabs>
          <w:tab w:val="num" w:pos="930"/>
        </w:tabs>
        <w:ind w:left="930" w:hanging="570"/>
      </w:pPr>
      <w:rPr>
        <w:rFonts w:cs="Times New Roman" w:hint="default"/>
      </w:rPr>
    </w:lvl>
    <w:lvl w:ilvl="1">
      <w:start w:val="1"/>
      <w:numFmt w:val="decimal"/>
      <w:isLgl/>
      <w:lvlText w:val="%1.%2"/>
      <w:lvlJc w:val="left"/>
      <w:pPr>
        <w:tabs>
          <w:tab w:val="num" w:pos="1425"/>
        </w:tabs>
        <w:ind w:left="1425" w:hanging="855"/>
      </w:pPr>
      <w:rPr>
        <w:rFonts w:cs="Times New Roman" w:hint="default"/>
      </w:rPr>
    </w:lvl>
    <w:lvl w:ilvl="2">
      <w:start w:val="1"/>
      <w:numFmt w:val="decimal"/>
      <w:isLgl/>
      <w:lvlText w:val="%1.%2.%3"/>
      <w:lvlJc w:val="left"/>
      <w:pPr>
        <w:tabs>
          <w:tab w:val="num" w:pos="1635"/>
        </w:tabs>
        <w:ind w:left="1635" w:hanging="855"/>
      </w:pPr>
      <w:rPr>
        <w:rFonts w:cs="Times New Roman" w:hint="default"/>
      </w:rPr>
    </w:lvl>
    <w:lvl w:ilvl="3">
      <w:start w:val="1"/>
      <w:numFmt w:val="decimal"/>
      <w:isLgl/>
      <w:lvlText w:val="%1.%2.%3.%4"/>
      <w:lvlJc w:val="left"/>
      <w:pPr>
        <w:tabs>
          <w:tab w:val="num" w:pos="2070"/>
        </w:tabs>
        <w:ind w:left="2070" w:hanging="108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850"/>
        </w:tabs>
        <w:ind w:left="2850" w:hanging="1440"/>
      </w:pPr>
      <w:rPr>
        <w:rFonts w:cs="Times New Roman" w:hint="default"/>
      </w:rPr>
    </w:lvl>
    <w:lvl w:ilvl="6">
      <w:start w:val="1"/>
      <w:numFmt w:val="decimal"/>
      <w:isLgl/>
      <w:lvlText w:val="%1.%2.%3.%4.%5.%6.%7"/>
      <w:lvlJc w:val="left"/>
      <w:pPr>
        <w:tabs>
          <w:tab w:val="num" w:pos="3060"/>
        </w:tabs>
        <w:ind w:left="3060" w:hanging="1440"/>
      </w:pPr>
      <w:rPr>
        <w:rFonts w:cs="Times New Roman" w:hint="default"/>
      </w:rPr>
    </w:lvl>
    <w:lvl w:ilvl="7">
      <w:start w:val="1"/>
      <w:numFmt w:val="decimal"/>
      <w:isLgl/>
      <w:lvlText w:val="%1.%2.%3.%4.%5.%6.%7.%8"/>
      <w:lvlJc w:val="left"/>
      <w:pPr>
        <w:tabs>
          <w:tab w:val="num" w:pos="3630"/>
        </w:tabs>
        <w:ind w:left="3630" w:hanging="1800"/>
      </w:pPr>
      <w:rPr>
        <w:rFonts w:cs="Times New Roman" w:hint="default"/>
      </w:rPr>
    </w:lvl>
    <w:lvl w:ilvl="8">
      <w:start w:val="1"/>
      <w:numFmt w:val="decimal"/>
      <w:isLgl/>
      <w:lvlText w:val="%1.%2.%3.%4.%5.%6.%7.%8.%9"/>
      <w:lvlJc w:val="left"/>
      <w:pPr>
        <w:tabs>
          <w:tab w:val="num" w:pos="3840"/>
        </w:tabs>
        <w:ind w:left="3840" w:hanging="1800"/>
      </w:pPr>
      <w:rPr>
        <w:rFonts w:cs="Times New Roman" w:hint="default"/>
      </w:rPr>
    </w:lvl>
  </w:abstractNum>
  <w:abstractNum w:abstractNumId="6" w15:restartNumberingAfterBreak="0">
    <w:nsid w:val="4A7B1789"/>
    <w:multiLevelType w:val="multilevel"/>
    <w:tmpl w:val="2E48CBC8"/>
    <w:lvl w:ilvl="0">
      <w:start w:val="1"/>
      <w:numFmt w:val="decimal"/>
      <w:pStyle w:val="WWHeading1"/>
      <w:lvlText w:val="%1."/>
      <w:lvlJc w:val="left"/>
      <w:pPr>
        <w:tabs>
          <w:tab w:val="num" w:pos="567"/>
        </w:tabs>
        <w:ind w:left="567" w:hanging="567"/>
      </w:pPr>
      <w:rPr>
        <w:rFonts w:cs="Times New Roman" w:hint="default"/>
        <w:b w:val="0"/>
        <w:i w:val="0"/>
        <w:color w:val="auto"/>
        <w:sz w:val="24"/>
        <w:szCs w:val="24"/>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4DB02BEA"/>
    <w:multiLevelType w:val="multilevel"/>
    <w:tmpl w:val="7D9C25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701"/>
        </w:tabs>
        <w:ind w:left="1701" w:hanging="964"/>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3402"/>
        </w:tabs>
        <w:ind w:left="3402" w:hanging="850"/>
      </w:pPr>
      <w:rPr>
        <w:rFonts w:hint="default"/>
      </w:rPr>
    </w:lvl>
    <w:lvl w:ilvl="5">
      <w:start w:val="1"/>
      <w:numFmt w:val="decimal"/>
      <w:lvlText w:val="%1.%2.%3.%4.%5.%6."/>
      <w:lvlJc w:val="left"/>
      <w:pPr>
        <w:tabs>
          <w:tab w:val="num" w:pos="4536"/>
        </w:tabs>
        <w:ind w:left="4536" w:hanging="113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603FFD"/>
    <w:multiLevelType w:val="hybridMultilevel"/>
    <w:tmpl w:val="19E829A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87D442C"/>
    <w:multiLevelType w:val="hybridMultilevel"/>
    <w:tmpl w:val="11D6BE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CDB58EA"/>
    <w:multiLevelType w:val="multilevel"/>
    <w:tmpl w:val="4C9A327E"/>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361"/>
        </w:tabs>
        <w:ind w:left="1361" w:hanging="794"/>
      </w:pPr>
      <w:rPr>
        <w:rFonts w:hint="default"/>
        <w:b w:val="0"/>
        <w:i w:val="0"/>
      </w:rPr>
    </w:lvl>
    <w:lvl w:ilvl="2">
      <w:start w:val="1"/>
      <w:numFmt w:val="decimal"/>
      <w:lvlText w:val="%1.%2.%3."/>
      <w:lvlJc w:val="left"/>
      <w:pPr>
        <w:tabs>
          <w:tab w:val="num" w:pos="2155"/>
        </w:tabs>
        <w:ind w:left="2155" w:hanging="794"/>
      </w:pPr>
      <w:rPr>
        <w:rFonts w:hint="default"/>
        <w:b w:val="0"/>
        <w:i w:val="0"/>
      </w:rPr>
    </w:lvl>
    <w:lvl w:ilvl="3">
      <w:start w:val="1"/>
      <w:numFmt w:val="decimal"/>
      <w:lvlText w:val="%1.%2.%3.%4."/>
      <w:lvlJc w:val="left"/>
      <w:pPr>
        <w:tabs>
          <w:tab w:val="num" w:pos="3402"/>
        </w:tabs>
        <w:ind w:left="3402" w:hanging="1021"/>
      </w:pPr>
      <w:rPr>
        <w:rFonts w:hint="default"/>
        <w:b w:val="0"/>
        <w:i w:val="0"/>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8E24870"/>
    <w:multiLevelType w:val="multilevel"/>
    <w:tmpl w:val="14AA3ED6"/>
    <w:lvl w:ilvl="0">
      <w:start w:val="1"/>
      <w:numFmt w:val="decimal"/>
      <w:lvlText w:val="%1."/>
      <w:lvlJc w:val="left"/>
      <w:pPr>
        <w:tabs>
          <w:tab w:val="num" w:pos="570"/>
        </w:tabs>
        <w:ind w:left="570" w:hanging="570"/>
      </w:pPr>
      <w:rPr>
        <w:rFonts w:cs="Times New Roman" w:hint="default"/>
      </w:rPr>
    </w:lvl>
    <w:lvl w:ilvl="1">
      <w:start w:val="1"/>
      <w:numFmt w:val="decimal"/>
      <w:isLgl/>
      <w:lvlText w:val="%1.%2"/>
      <w:lvlJc w:val="left"/>
      <w:pPr>
        <w:tabs>
          <w:tab w:val="num" w:pos="1065"/>
        </w:tabs>
        <w:ind w:left="1065" w:hanging="855"/>
      </w:pPr>
      <w:rPr>
        <w:rFonts w:cs="Times New Roman" w:hint="default"/>
      </w:rPr>
    </w:lvl>
    <w:lvl w:ilvl="2">
      <w:start w:val="1"/>
      <w:numFmt w:val="decimal"/>
      <w:isLgl/>
      <w:lvlText w:val="%1.%2.%3"/>
      <w:lvlJc w:val="left"/>
      <w:pPr>
        <w:tabs>
          <w:tab w:val="num" w:pos="1275"/>
        </w:tabs>
        <w:ind w:left="1275" w:hanging="855"/>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2490"/>
        </w:tabs>
        <w:ind w:left="2490" w:hanging="144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3270"/>
        </w:tabs>
        <w:ind w:left="3270" w:hanging="1800"/>
      </w:pPr>
      <w:rPr>
        <w:rFonts w:cs="Times New Roman" w:hint="default"/>
      </w:rPr>
    </w:lvl>
    <w:lvl w:ilvl="8">
      <w:start w:val="1"/>
      <w:numFmt w:val="decimal"/>
      <w:isLgl/>
      <w:lvlText w:val="%1.%2.%3.%4.%5.%6.%7.%8.%9"/>
      <w:lvlJc w:val="left"/>
      <w:pPr>
        <w:tabs>
          <w:tab w:val="num" w:pos="3480"/>
        </w:tabs>
        <w:ind w:left="3480" w:hanging="1800"/>
      </w:pPr>
      <w:rPr>
        <w:rFonts w:cs="Times New Roman" w:hint="default"/>
      </w:rPr>
    </w:lvl>
  </w:abstractNum>
  <w:abstractNum w:abstractNumId="12" w15:restartNumberingAfterBreak="0">
    <w:nsid w:val="7AB557AD"/>
    <w:multiLevelType w:val="multilevel"/>
    <w:tmpl w:val="44A6248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1418"/>
        </w:tabs>
        <w:ind w:left="1418" w:hanging="851"/>
      </w:pPr>
      <w:rPr>
        <w:rFonts w:hint="default"/>
      </w:rPr>
    </w:lvl>
    <w:lvl w:ilvl="2">
      <w:start w:val="1"/>
      <w:numFmt w:val="decimal"/>
      <w:isLgl/>
      <w:lvlText w:val="%1.%2.%3"/>
      <w:lvlJc w:val="left"/>
      <w:pPr>
        <w:tabs>
          <w:tab w:val="num" w:pos="2268"/>
        </w:tabs>
        <w:ind w:left="2268" w:hanging="850"/>
      </w:pPr>
      <w:rPr>
        <w:rFonts w:hint="default"/>
      </w:rPr>
    </w:lvl>
    <w:lvl w:ilvl="3">
      <w:start w:val="1"/>
      <w:numFmt w:val="decimal"/>
      <w:isLgl/>
      <w:lvlText w:val="%1.%2.%3.%4"/>
      <w:lvlJc w:val="left"/>
      <w:pPr>
        <w:tabs>
          <w:tab w:val="num" w:pos="3289"/>
        </w:tabs>
        <w:ind w:left="3289" w:hanging="1021"/>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3" w15:restartNumberingAfterBreak="0">
    <w:nsid w:val="7F69267C"/>
    <w:multiLevelType w:val="multilevel"/>
    <w:tmpl w:val="509E3124"/>
    <w:lvl w:ilvl="0">
      <w:start w:val="1"/>
      <w:numFmt w:val="decimal"/>
      <w:lvlText w:val="%1."/>
      <w:lvlJc w:val="left"/>
      <w:pPr>
        <w:tabs>
          <w:tab w:val="num" w:pos="567"/>
        </w:tabs>
        <w:ind w:left="567" w:hanging="567"/>
      </w:pPr>
      <w:rPr>
        <w:rFonts w:hint="default"/>
        <w:b w:val="0"/>
        <w:bCs w:val="0"/>
        <w:i w:val="0"/>
        <w:iCs w:val="0"/>
      </w:rPr>
    </w:lvl>
    <w:lvl w:ilvl="1">
      <w:start w:val="1"/>
      <w:numFmt w:val="decimal"/>
      <w:lvlText w:val="%1.%2."/>
      <w:lvlJc w:val="left"/>
      <w:pPr>
        <w:tabs>
          <w:tab w:val="num" w:pos="1418"/>
        </w:tabs>
        <w:ind w:left="1418" w:hanging="851"/>
      </w:pPr>
      <w:rPr>
        <w:rFonts w:hint="default"/>
        <w:b w:val="0"/>
        <w:bCs w:val="0"/>
        <w:i w:val="0"/>
        <w:iCs w:val="0"/>
      </w:rPr>
    </w:lvl>
    <w:lvl w:ilvl="2">
      <w:start w:val="1"/>
      <w:numFmt w:val="decimal"/>
      <w:lvlText w:val="%1.%2.%3."/>
      <w:lvlJc w:val="left"/>
      <w:pPr>
        <w:tabs>
          <w:tab w:val="num" w:pos="2268"/>
        </w:tabs>
        <w:ind w:left="2268" w:hanging="850"/>
      </w:pPr>
      <w:rPr>
        <w:rFonts w:hint="default"/>
        <w:b w:val="0"/>
        <w:bCs w:val="0"/>
        <w:i w:val="0"/>
        <w:iCs w:val="0"/>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FF94F2D"/>
    <w:multiLevelType w:val="hybridMultilevel"/>
    <w:tmpl w:val="358A46D6"/>
    <w:lvl w:ilvl="0" w:tplc="EF66A6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2"/>
  </w:num>
  <w:num w:numId="4">
    <w:abstractNumId w:val="10"/>
  </w:num>
  <w:num w:numId="5">
    <w:abstractNumId w:val="1"/>
  </w:num>
  <w:num w:numId="6">
    <w:abstractNumId w:val="13"/>
  </w:num>
  <w:num w:numId="7">
    <w:abstractNumId w:val="14"/>
  </w:num>
  <w:num w:numId="8">
    <w:abstractNumId w:val="5"/>
  </w:num>
  <w:num w:numId="9">
    <w:abstractNumId w:val="6"/>
  </w:num>
  <w:num w:numId="10">
    <w:abstractNumId w:val="4"/>
  </w:num>
  <w:num w:numId="11">
    <w:abstractNumId w:val="0"/>
  </w:num>
  <w:num w:numId="12">
    <w:abstractNumId w:val="2"/>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E"/>
    <w:rsid w:val="00000310"/>
    <w:rsid w:val="00003F93"/>
    <w:rsid w:val="000163FC"/>
    <w:rsid w:val="0002035F"/>
    <w:rsid w:val="00021EDA"/>
    <w:rsid w:val="0002243E"/>
    <w:rsid w:val="000319D9"/>
    <w:rsid w:val="0004365D"/>
    <w:rsid w:val="00044C8C"/>
    <w:rsid w:val="00054FAB"/>
    <w:rsid w:val="000629E3"/>
    <w:rsid w:val="00076830"/>
    <w:rsid w:val="00080C1E"/>
    <w:rsid w:val="00081F57"/>
    <w:rsid w:val="00090F4E"/>
    <w:rsid w:val="00093CF4"/>
    <w:rsid w:val="000948D8"/>
    <w:rsid w:val="000A2175"/>
    <w:rsid w:val="000A2DF0"/>
    <w:rsid w:val="000A6157"/>
    <w:rsid w:val="000B41A4"/>
    <w:rsid w:val="000D34C2"/>
    <w:rsid w:val="000D643D"/>
    <w:rsid w:val="000D72FC"/>
    <w:rsid w:val="000E0F53"/>
    <w:rsid w:val="000E69E4"/>
    <w:rsid w:val="000F0D3A"/>
    <w:rsid w:val="000F1A7B"/>
    <w:rsid w:val="000F7336"/>
    <w:rsid w:val="00101471"/>
    <w:rsid w:val="0010680A"/>
    <w:rsid w:val="00114610"/>
    <w:rsid w:val="001165D1"/>
    <w:rsid w:val="0012273F"/>
    <w:rsid w:val="00122D8E"/>
    <w:rsid w:val="001438CB"/>
    <w:rsid w:val="00153654"/>
    <w:rsid w:val="0015631D"/>
    <w:rsid w:val="00161C2C"/>
    <w:rsid w:val="00170452"/>
    <w:rsid w:val="001A2903"/>
    <w:rsid w:val="001B1448"/>
    <w:rsid w:val="001B3FBD"/>
    <w:rsid w:val="001C1D39"/>
    <w:rsid w:val="001C72C9"/>
    <w:rsid w:val="001D2415"/>
    <w:rsid w:val="001D5C9E"/>
    <w:rsid w:val="001E5E03"/>
    <w:rsid w:val="001E7A8B"/>
    <w:rsid w:val="001F25EB"/>
    <w:rsid w:val="001F4662"/>
    <w:rsid w:val="00202793"/>
    <w:rsid w:val="0021155A"/>
    <w:rsid w:val="00214317"/>
    <w:rsid w:val="00214620"/>
    <w:rsid w:val="0023103E"/>
    <w:rsid w:val="00232D4C"/>
    <w:rsid w:val="00245DBA"/>
    <w:rsid w:val="00256964"/>
    <w:rsid w:val="00261C04"/>
    <w:rsid w:val="0026778C"/>
    <w:rsid w:val="00267ADA"/>
    <w:rsid w:val="00270E78"/>
    <w:rsid w:val="00284665"/>
    <w:rsid w:val="002952DD"/>
    <w:rsid w:val="002A4CCC"/>
    <w:rsid w:val="002A53EA"/>
    <w:rsid w:val="002B55C2"/>
    <w:rsid w:val="002C786C"/>
    <w:rsid w:val="002F1942"/>
    <w:rsid w:val="002F4749"/>
    <w:rsid w:val="002F4ECD"/>
    <w:rsid w:val="002F558E"/>
    <w:rsid w:val="002F690A"/>
    <w:rsid w:val="002F7A1F"/>
    <w:rsid w:val="00303E28"/>
    <w:rsid w:val="003107E4"/>
    <w:rsid w:val="00311B11"/>
    <w:rsid w:val="00316209"/>
    <w:rsid w:val="00317A55"/>
    <w:rsid w:val="003333DD"/>
    <w:rsid w:val="00334C7F"/>
    <w:rsid w:val="00342E16"/>
    <w:rsid w:val="00356644"/>
    <w:rsid w:val="003578A6"/>
    <w:rsid w:val="00370D02"/>
    <w:rsid w:val="00371DC4"/>
    <w:rsid w:val="00372FBF"/>
    <w:rsid w:val="00377588"/>
    <w:rsid w:val="00391956"/>
    <w:rsid w:val="00396359"/>
    <w:rsid w:val="003A7332"/>
    <w:rsid w:val="003B5EDB"/>
    <w:rsid w:val="003C5060"/>
    <w:rsid w:val="003D23BE"/>
    <w:rsid w:val="003E4174"/>
    <w:rsid w:val="003F4650"/>
    <w:rsid w:val="003F5877"/>
    <w:rsid w:val="00400A90"/>
    <w:rsid w:val="00400B88"/>
    <w:rsid w:val="00414C95"/>
    <w:rsid w:val="00426482"/>
    <w:rsid w:val="00451055"/>
    <w:rsid w:val="004514D1"/>
    <w:rsid w:val="00451B2F"/>
    <w:rsid w:val="00453C7F"/>
    <w:rsid w:val="0046442C"/>
    <w:rsid w:val="004646F2"/>
    <w:rsid w:val="00470208"/>
    <w:rsid w:val="00471D8A"/>
    <w:rsid w:val="00485E9B"/>
    <w:rsid w:val="00492361"/>
    <w:rsid w:val="004A1C8A"/>
    <w:rsid w:val="004A27C8"/>
    <w:rsid w:val="004B71C7"/>
    <w:rsid w:val="004D3A55"/>
    <w:rsid w:val="004E3615"/>
    <w:rsid w:val="004F0BE9"/>
    <w:rsid w:val="004F3F0C"/>
    <w:rsid w:val="00502017"/>
    <w:rsid w:val="005327EB"/>
    <w:rsid w:val="00534930"/>
    <w:rsid w:val="00534A9D"/>
    <w:rsid w:val="0053790F"/>
    <w:rsid w:val="00537B37"/>
    <w:rsid w:val="00543F08"/>
    <w:rsid w:val="0055552D"/>
    <w:rsid w:val="005642EC"/>
    <w:rsid w:val="00564320"/>
    <w:rsid w:val="005745F4"/>
    <w:rsid w:val="005767E1"/>
    <w:rsid w:val="00593BBC"/>
    <w:rsid w:val="00596A43"/>
    <w:rsid w:val="005A0060"/>
    <w:rsid w:val="005A18DA"/>
    <w:rsid w:val="005A2E73"/>
    <w:rsid w:val="005A6F55"/>
    <w:rsid w:val="005B34F1"/>
    <w:rsid w:val="005B4026"/>
    <w:rsid w:val="005D0128"/>
    <w:rsid w:val="005D2D08"/>
    <w:rsid w:val="005F281F"/>
    <w:rsid w:val="005F63AF"/>
    <w:rsid w:val="005F655A"/>
    <w:rsid w:val="00623689"/>
    <w:rsid w:val="006266C3"/>
    <w:rsid w:val="00634949"/>
    <w:rsid w:val="00641FBB"/>
    <w:rsid w:val="00657C8C"/>
    <w:rsid w:val="006679A4"/>
    <w:rsid w:val="00671335"/>
    <w:rsid w:val="006726D2"/>
    <w:rsid w:val="00672B19"/>
    <w:rsid w:val="006765CC"/>
    <w:rsid w:val="006A7DB7"/>
    <w:rsid w:val="006A7E29"/>
    <w:rsid w:val="006B4A4B"/>
    <w:rsid w:val="006B4BD0"/>
    <w:rsid w:val="006D301F"/>
    <w:rsid w:val="006D6D10"/>
    <w:rsid w:val="006D7EFD"/>
    <w:rsid w:val="006E161B"/>
    <w:rsid w:val="006E2EED"/>
    <w:rsid w:val="006E50C1"/>
    <w:rsid w:val="006F3F2C"/>
    <w:rsid w:val="00700CCF"/>
    <w:rsid w:val="007028E6"/>
    <w:rsid w:val="00706511"/>
    <w:rsid w:val="00714EF4"/>
    <w:rsid w:val="007175B4"/>
    <w:rsid w:val="007262F8"/>
    <w:rsid w:val="0073091A"/>
    <w:rsid w:val="00733614"/>
    <w:rsid w:val="00747ACC"/>
    <w:rsid w:val="00752221"/>
    <w:rsid w:val="007558EC"/>
    <w:rsid w:val="00760507"/>
    <w:rsid w:val="0077263D"/>
    <w:rsid w:val="007740A3"/>
    <w:rsid w:val="00780456"/>
    <w:rsid w:val="00791054"/>
    <w:rsid w:val="00795611"/>
    <w:rsid w:val="0079767D"/>
    <w:rsid w:val="00797956"/>
    <w:rsid w:val="007A4B86"/>
    <w:rsid w:val="007B2113"/>
    <w:rsid w:val="007B28E6"/>
    <w:rsid w:val="007B4D32"/>
    <w:rsid w:val="007B6554"/>
    <w:rsid w:val="007B7679"/>
    <w:rsid w:val="007C1E96"/>
    <w:rsid w:val="007C24E4"/>
    <w:rsid w:val="007D50E3"/>
    <w:rsid w:val="007D7196"/>
    <w:rsid w:val="007E1A6A"/>
    <w:rsid w:val="007E2F71"/>
    <w:rsid w:val="007E5122"/>
    <w:rsid w:val="007E64F1"/>
    <w:rsid w:val="007F55F0"/>
    <w:rsid w:val="007F6600"/>
    <w:rsid w:val="00802C02"/>
    <w:rsid w:val="00803946"/>
    <w:rsid w:val="00823613"/>
    <w:rsid w:val="00824354"/>
    <w:rsid w:val="00824C6E"/>
    <w:rsid w:val="00831CD5"/>
    <w:rsid w:val="0083271B"/>
    <w:rsid w:val="00833488"/>
    <w:rsid w:val="00834D86"/>
    <w:rsid w:val="00836484"/>
    <w:rsid w:val="0084650B"/>
    <w:rsid w:val="008645BA"/>
    <w:rsid w:val="0087200F"/>
    <w:rsid w:val="00886882"/>
    <w:rsid w:val="00890261"/>
    <w:rsid w:val="00891E74"/>
    <w:rsid w:val="00893277"/>
    <w:rsid w:val="00893CDA"/>
    <w:rsid w:val="00894945"/>
    <w:rsid w:val="008A7C34"/>
    <w:rsid w:val="008B142A"/>
    <w:rsid w:val="008B19CE"/>
    <w:rsid w:val="008B61DF"/>
    <w:rsid w:val="008C4CCF"/>
    <w:rsid w:val="008E471E"/>
    <w:rsid w:val="008E7136"/>
    <w:rsid w:val="008F037C"/>
    <w:rsid w:val="008F4E9C"/>
    <w:rsid w:val="0090620B"/>
    <w:rsid w:val="00910541"/>
    <w:rsid w:val="009375A8"/>
    <w:rsid w:val="00941E2D"/>
    <w:rsid w:val="00947131"/>
    <w:rsid w:val="00950C9B"/>
    <w:rsid w:val="00951E2C"/>
    <w:rsid w:val="009566B5"/>
    <w:rsid w:val="009646A3"/>
    <w:rsid w:val="00964E79"/>
    <w:rsid w:val="00974AFF"/>
    <w:rsid w:val="0098363E"/>
    <w:rsid w:val="00995827"/>
    <w:rsid w:val="00995B83"/>
    <w:rsid w:val="009A1722"/>
    <w:rsid w:val="009A7E01"/>
    <w:rsid w:val="009A7E35"/>
    <w:rsid w:val="009B4D5C"/>
    <w:rsid w:val="009B6E37"/>
    <w:rsid w:val="009B7501"/>
    <w:rsid w:val="009C0E9E"/>
    <w:rsid w:val="009C313B"/>
    <w:rsid w:val="009D0C5C"/>
    <w:rsid w:val="009D11F7"/>
    <w:rsid w:val="009D33AA"/>
    <w:rsid w:val="009D45B2"/>
    <w:rsid w:val="009D4784"/>
    <w:rsid w:val="009D7A08"/>
    <w:rsid w:val="009E0E00"/>
    <w:rsid w:val="009E63F7"/>
    <w:rsid w:val="009E7729"/>
    <w:rsid w:val="009E784B"/>
    <w:rsid w:val="009F58E9"/>
    <w:rsid w:val="009F5D5D"/>
    <w:rsid w:val="009F6618"/>
    <w:rsid w:val="00A04D67"/>
    <w:rsid w:val="00A11C2E"/>
    <w:rsid w:val="00A23C55"/>
    <w:rsid w:val="00A25DAF"/>
    <w:rsid w:val="00A27FB5"/>
    <w:rsid w:val="00A311BB"/>
    <w:rsid w:val="00A346A3"/>
    <w:rsid w:val="00A35BD1"/>
    <w:rsid w:val="00A4197C"/>
    <w:rsid w:val="00A45317"/>
    <w:rsid w:val="00A55F20"/>
    <w:rsid w:val="00A60353"/>
    <w:rsid w:val="00A613B9"/>
    <w:rsid w:val="00A85277"/>
    <w:rsid w:val="00A87686"/>
    <w:rsid w:val="00A9066F"/>
    <w:rsid w:val="00A91CFF"/>
    <w:rsid w:val="00AA0425"/>
    <w:rsid w:val="00AA3FAD"/>
    <w:rsid w:val="00AD2984"/>
    <w:rsid w:val="00AD7105"/>
    <w:rsid w:val="00AD72E3"/>
    <w:rsid w:val="00AD7316"/>
    <w:rsid w:val="00AE3544"/>
    <w:rsid w:val="00AF2916"/>
    <w:rsid w:val="00AF5166"/>
    <w:rsid w:val="00AF5F6A"/>
    <w:rsid w:val="00AF79EE"/>
    <w:rsid w:val="00AF7FE2"/>
    <w:rsid w:val="00B02D13"/>
    <w:rsid w:val="00B0579C"/>
    <w:rsid w:val="00B06F17"/>
    <w:rsid w:val="00B150EE"/>
    <w:rsid w:val="00B2103E"/>
    <w:rsid w:val="00B25B5A"/>
    <w:rsid w:val="00B31D18"/>
    <w:rsid w:val="00B3631F"/>
    <w:rsid w:val="00B52DD8"/>
    <w:rsid w:val="00B60B9B"/>
    <w:rsid w:val="00B61A9C"/>
    <w:rsid w:val="00B623AA"/>
    <w:rsid w:val="00B76A33"/>
    <w:rsid w:val="00B806FF"/>
    <w:rsid w:val="00B86F1C"/>
    <w:rsid w:val="00BA56E5"/>
    <w:rsid w:val="00BB7326"/>
    <w:rsid w:val="00BC5CC3"/>
    <w:rsid w:val="00BD30C5"/>
    <w:rsid w:val="00BD6133"/>
    <w:rsid w:val="00BE057D"/>
    <w:rsid w:val="00BE414C"/>
    <w:rsid w:val="00BE4678"/>
    <w:rsid w:val="00BE6D71"/>
    <w:rsid w:val="00C1078B"/>
    <w:rsid w:val="00C205F7"/>
    <w:rsid w:val="00C33A2C"/>
    <w:rsid w:val="00C34BEC"/>
    <w:rsid w:val="00C359EE"/>
    <w:rsid w:val="00C44116"/>
    <w:rsid w:val="00C5514A"/>
    <w:rsid w:val="00C60BAC"/>
    <w:rsid w:val="00C62F81"/>
    <w:rsid w:val="00C63EF6"/>
    <w:rsid w:val="00C771C4"/>
    <w:rsid w:val="00C819FF"/>
    <w:rsid w:val="00C8281B"/>
    <w:rsid w:val="00C82B3C"/>
    <w:rsid w:val="00C85E9E"/>
    <w:rsid w:val="00C94BFD"/>
    <w:rsid w:val="00C97BAD"/>
    <w:rsid w:val="00CA0967"/>
    <w:rsid w:val="00CA3548"/>
    <w:rsid w:val="00CC66E8"/>
    <w:rsid w:val="00CE18B4"/>
    <w:rsid w:val="00D04C44"/>
    <w:rsid w:val="00D07B4E"/>
    <w:rsid w:val="00D11B20"/>
    <w:rsid w:val="00D12AF9"/>
    <w:rsid w:val="00D16F6D"/>
    <w:rsid w:val="00D17BA1"/>
    <w:rsid w:val="00D2020C"/>
    <w:rsid w:val="00D37CBA"/>
    <w:rsid w:val="00D43773"/>
    <w:rsid w:val="00D516FC"/>
    <w:rsid w:val="00D5445C"/>
    <w:rsid w:val="00D56C5E"/>
    <w:rsid w:val="00D56EDE"/>
    <w:rsid w:val="00D57EAA"/>
    <w:rsid w:val="00D62742"/>
    <w:rsid w:val="00D633B2"/>
    <w:rsid w:val="00D63956"/>
    <w:rsid w:val="00D73218"/>
    <w:rsid w:val="00D764DC"/>
    <w:rsid w:val="00D80B64"/>
    <w:rsid w:val="00D94892"/>
    <w:rsid w:val="00D973E3"/>
    <w:rsid w:val="00DA72FB"/>
    <w:rsid w:val="00DB5EFB"/>
    <w:rsid w:val="00DC2558"/>
    <w:rsid w:val="00DC3FFD"/>
    <w:rsid w:val="00DD128A"/>
    <w:rsid w:val="00DD41CD"/>
    <w:rsid w:val="00DE3264"/>
    <w:rsid w:val="00DE62C1"/>
    <w:rsid w:val="00DE63A7"/>
    <w:rsid w:val="00E007BB"/>
    <w:rsid w:val="00E1072D"/>
    <w:rsid w:val="00E12A2E"/>
    <w:rsid w:val="00E31304"/>
    <w:rsid w:val="00E36EF8"/>
    <w:rsid w:val="00E47301"/>
    <w:rsid w:val="00E47FCD"/>
    <w:rsid w:val="00E606E4"/>
    <w:rsid w:val="00E67DC9"/>
    <w:rsid w:val="00E75E2B"/>
    <w:rsid w:val="00E774FF"/>
    <w:rsid w:val="00E83E09"/>
    <w:rsid w:val="00E87623"/>
    <w:rsid w:val="00E92E7A"/>
    <w:rsid w:val="00E941B0"/>
    <w:rsid w:val="00EA6CEA"/>
    <w:rsid w:val="00EB77CD"/>
    <w:rsid w:val="00EC415D"/>
    <w:rsid w:val="00ED51F3"/>
    <w:rsid w:val="00ED6912"/>
    <w:rsid w:val="00ED7D28"/>
    <w:rsid w:val="00EF3BF4"/>
    <w:rsid w:val="00F014BB"/>
    <w:rsid w:val="00F01CD7"/>
    <w:rsid w:val="00F13DFB"/>
    <w:rsid w:val="00F16E84"/>
    <w:rsid w:val="00F17E82"/>
    <w:rsid w:val="00F21342"/>
    <w:rsid w:val="00F25DD3"/>
    <w:rsid w:val="00F26036"/>
    <w:rsid w:val="00F27917"/>
    <w:rsid w:val="00F3027B"/>
    <w:rsid w:val="00F32002"/>
    <w:rsid w:val="00F55D47"/>
    <w:rsid w:val="00F57766"/>
    <w:rsid w:val="00F641DE"/>
    <w:rsid w:val="00F64405"/>
    <w:rsid w:val="00F70E8A"/>
    <w:rsid w:val="00F736B8"/>
    <w:rsid w:val="00F80C97"/>
    <w:rsid w:val="00F81002"/>
    <w:rsid w:val="00F85946"/>
    <w:rsid w:val="00F86430"/>
    <w:rsid w:val="00F8707E"/>
    <w:rsid w:val="00FA6A5B"/>
    <w:rsid w:val="00FA6BA4"/>
    <w:rsid w:val="00FB1DA1"/>
    <w:rsid w:val="00FB458C"/>
    <w:rsid w:val="00FD11E0"/>
    <w:rsid w:val="00FD6452"/>
    <w:rsid w:val="00FF4D0B"/>
    <w:rsid w:val="00FF578E"/>
    <w:rsid w:val="00FF62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196DE7-44FD-4027-B8A1-AAE675DF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FD"/>
    <w:rPr>
      <w:rFonts w:ascii="Arial" w:hAnsi="Arial"/>
      <w:sz w:val="22"/>
      <w:szCs w:val="22"/>
      <w:lang w:val="en-GB" w:eastAsia="en-GB"/>
    </w:rPr>
  </w:style>
  <w:style w:type="paragraph" w:styleId="Heading1">
    <w:name w:val="heading 1"/>
    <w:basedOn w:val="Normal"/>
    <w:next w:val="Normal"/>
    <w:link w:val="Heading1Char"/>
    <w:qFormat/>
    <w:rsid w:val="00161C2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nhideWhenUsed/>
    <w:qFormat/>
    <w:rsid w:val="00DC3FFD"/>
    <w:pPr>
      <w:keepNext/>
      <w:keepLines/>
      <w:spacing w:before="40"/>
      <w:outlineLvl w:val="1"/>
    </w:pPr>
    <w:rPr>
      <w:rFonts w:ascii="Times New Roman" w:eastAsiaTheme="majorEastAsia" w:hAnsi="Times New Roman" w:cstheme="majorBidi"/>
      <w:b/>
      <w:sz w:val="24"/>
      <w:szCs w:val="26"/>
      <w:u w:val="single"/>
    </w:rPr>
  </w:style>
  <w:style w:type="paragraph" w:styleId="Heading9">
    <w:name w:val="heading 9"/>
    <w:basedOn w:val="Normal"/>
    <w:next w:val="Normal"/>
    <w:rsid w:val="00F6440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outlineLvl w:val="8"/>
    </w:pPr>
    <w:rPr>
      <w:rFonts w:ascii="Times New Roman" w:hAnsi="Times New Roman" w:cs="Arial"/>
      <w:b/>
      <w:bCs/>
      <w:spacing w:val="-2"/>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CF4"/>
    <w:pPr>
      <w:tabs>
        <w:tab w:val="center" w:pos="4153"/>
        <w:tab w:val="right" w:pos="8306"/>
      </w:tabs>
    </w:pPr>
  </w:style>
  <w:style w:type="character" w:styleId="PageNumber">
    <w:name w:val="page number"/>
    <w:basedOn w:val="DefaultParagraphFont"/>
    <w:rsid w:val="00093CF4"/>
  </w:style>
  <w:style w:type="paragraph" w:styleId="BalloonText">
    <w:name w:val="Balloon Text"/>
    <w:basedOn w:val="Normal"/>
    <w:semiHidden/>
    <w:rsid w:val="00414C95"/>
    <w:rPr>
      <w:rFonts w:ascii="Tahoma" w:hAnsi="Tahoma" w:cs="Tahoma"/>
      <w:sz w:val="16"/>
      <w:szCs w:val="16"/>
    </w:rPr>
  </w:style>
  <w:style w:type="paragraph" w:styleId="BodyText">
    <w:name w:val="Body Text"/>
    <w:basedOn w:val="Normal"/>
    <w:link w:val="BodyTextChar"/>
    <w:rsid w:val="00471D8A"/>
    <w:pPr>
      <w:spacing w:line="360" w:lineRule="auto"/>
    </w:pPr>
    <w:rPr>
      <w:rFonts w:cs="Arial"/>
      <w:szCs w:val="24"/>
      <w:lang w:val="en-US" w:eastAsia="en-ZA"/>
    </w:rPr>
  </w:style>
  <w:style w:type="character" w:customStyle="1" w:styleId="BodyTextChar">
    <w:name w:val="Body Text Char"/>
    <w:basedOn w:val="DefaultParagraphFont"/>
    <w:link w:val="BodyText"/>
    <w:rsid w:val="001F4662"/>
    <w:rPr>
      <w:rFonts w:ascii="Arial" w:hAnsi="Arial" w:cs="Arial"/>
      <w:sz w:val="22"/>
      <w:szCs w:val="24"/>
      <w:lang w:val="en-US" w:eastAsia="en-ZA" w:bidi="ar-SA"/>
    </w:rPr>
  </w:style>
  <w:style w:type="paragraph" w:styleId="ListParagraph">
    <w:name w:val="List Paragraph"/>
    <w:basedOn w:val="Normal"/>
    <w:uiPriority w:val="34"/>
    <w:qFormat/>
    <w:rsid w:val="006B4A4B"/>
    <w:pPr>
      <w:ind w:left="720"/>
    </w:pPr>
    <w:rPr>
      <w:rFonts w:ascii="Times New Roman" w:hAnsi="Times New Roman"/>
      <w:sz w:val="24"/>
      <w:szCs w:val="24"/>
      <w:lang w:val="en-ZA" w:eastAsia="en-ZA"/>
    </w:rPr>
  </w:style>
  <w:style w:type="character" w:styleId="Hyperlink">
    <w:name w:val="Hyperlink"/>
    <w:basedOn w:val="DefaultParagraphFont"/>
    <w:uiPriority w:val="99"/>
    <w:rsid w:val="006B4A4B"/>
    <w:rPr>
      <w:color w:val="0000FF"/>
      <w:u w:val="single"/>
    </w:rPr>
  </w:style>
  <w:style w:type="paragraph" w:styleId="Footer">
    <w:name w:val="footer"/>
    <w:basedOn w:val="Normal"/>
    <w:link w:val="FooterChar"/>
    <w:uiPriority w:val="99"/>
    <w:rsid w:val="00F13DFB"/>
    <w:pPr>
      <w:tabs>
        <w:tab w:val="center" w:pos="4513"/>
        <w:tab w:val="right" w:pos="9026"/>
      </w:tabs>
    </w:pPr>
  </w:style>
  <w:style w:type="character" w:customStyle="1" w:styleId="FooterChar">
    <w:name w:val="Footer Char"/>
    <w:basedOn w:val="DefaultParagraphFont"/>
    <w:link w:val="Footer"/>
    <w:uiPriority w:val="99"/>
    <w:rsid w:val="00F13DFB"/>
    <w:rPr>
      <w:rFonts w:ascii="Arial" w:hAnsi="Arial"/>
      <w:sz w:val="22"/>
      <w:szCs w:val="22"/>
      <w:lang w:val="en-GB" w:eastAsia="en-GB"/>
    </w:rPr>
  </w:style>
  <w:style w:type="paragraph" w:customStyle="1" w:styleId="BGNormal">
    <w:name w:val="BGNormal"/>
    <w:basedOn w:val="Normal"/>
    <w:rsid w:val="00B3631F"/>
    <w:pPr>
      <w:widowControl w:val="0"/>
      <w:spacing w:line="360" w:lineRule="auto"/>
      <w:jc w:val="both"/>
    </w:pPr>
    <w:rPr>
      <w:rFonts w:ascii="Book Antiqua" w:hAnsi="Book Antiqua"/>
      <w:sz w:val="20"/>
      <w:lang w:val="en-ZA" w:eastAsia="en-US"/>
    </w:rPr>
  </w:style>
  <w:style w:type="paragraph" w:styleId="FootnoteText">
    <w:name w:val="footnote text"/>
    <w:basedOn w:val="Normal"/>
    <w:link w:val="FootnoteTextChar"/>
    <w:uiPriority w:val="99"/>
    <w:rsid w:val="007B28E6"/>
    <w:rPr>
      <w:sz w:val="20"/>
      <w:szCs w:val="20"/>
    </w:rPr>
  </w:style>
  <w:style w:type="character" w:customStyle="1" w:styleId="FootnoteTextChar">
    <w:name w:val="Footnote Text Char"/>
    <w:basedOn w:val="DefaultParagraphFont"/>
    <w:link w:val="FootnoteText"/>
    <w:uiPriority w:val="99"/>
    <w:rsid w:val="007B28E6"/>
    <w:rPr>
      <w:rFonts w:ascii="Arial" w:hAnsi="Arial"/>
      <w:lang w:val="en-GB" w:eastAsia="en-GB"/>
    </w:rPr>
  </w:style>
  <w:style w:type="character" w:styleId="FootnoteReference">
    <w:name w:val="footnote reference"/>
    <w:basedOn w:val="DefaultParagraphFont"/>
    <w:uiPriority w:val="99"/>
    <w:rsid w:val="007B28E6"/>
    <w:rPr>
      <w:vertAlign w:val="superscript"/>
    </w:rPr>
  </w:style>
  <w:style w:type="paragraph" w:customStyle="1" w:styleId="WWHeading1">
    <w:name w:val="WW_Heading1"/>
    <w:basedOn w:val="Normal"/>
    <w:next w:val="Normal"/>
    <w:rsid w:val="007B28E6"/>
    <w:pPr>
      <w:keepNext/>
      <w:numPr>
        <w:numId w:val="9"/>
      </w:numPr>
      <w:suppressAutoHyphens/>
      <w:spacing w:before="240" w:after="240" w:line="360" w:lineRule="auto"/>
      <w:jc w:val="both"/>
      <w:outlineLvl w:val="0"/>
    </w:pPr>
    <w:rPr>
      <w:b/>
      <w:szCs w:val="24"/>
    </w:rPr>
  </w:style>
  <w:style w:type="paragraph" w:customStyle="1" w:styleId="WWHeading2">
    <w:name w:val="WW_Heading2"/>
    <w:basedOn w:val="Normal"/>
    <w:next w:val="Normal"/>
    <w:rsid w:val="007B28E6"/>
    <w:pPr>
      <w:keepNext/>
      <w:numPr>
        <w:ilvl w:val="1"/>
        <w:numId w:val="9"/>
      </w:numPr>
      <w:tabs>
        <w:tab w:val="left" w:pos="3402"/>
        <w:tab w:val="left" w:pos="3969"/>
      </w:tabs>
      <w:suppressAutoHyphens/>
      <w:spacing w:after="240" w:line="360" w:lineRule="auto"/>
      <w:jc w:val="both"/>
      <w:outlineLvl w:val="1"/>
    </w:pPr>
    <w:rPr>
      <w:b/>
      <w:szCs w:val="24"/>
    </w:rPr>
  </w:style>
  <w:style w:type="paragraph" w:customStyle="1" w:styleId="WWHeading3">
    <w:name w:val="WW_Heading3"/>
    <w:basedOn w:val="Normal"/>
    <w:next w:val="Normal"/>
    <w:rsid w:val="007B28E6"/>
    <w:pPr>
      <w:keepNext/>
      <w:numPr>
        <w:ilvl w:val="2"/>
        <w:numId w:val="9"/>
      </w:numPr>
      <w:tabs>
        <w:tab w:val="left" w:pos="3969"/>
        <w:tab w:val="left" w:pos="4536"/>
      </w:tabs>
      <w:suppressAutoHyphens/>
      <w:spacing w:after="240" w:line="360" w:lineRule="auto"/>
      <w:jc w:val="both"/>
      <w:outlineLvl w:val="2"/>
    </w:pPr>
    <w:rPr>
      <w:b/>
      <w:szCs w:val="24"/>
    </w:rPr>
  </w:style>
  <w:style w:type="paragraph" w:customStyle="1" w:styleId="WWHeading4">
    <w:name w:val="WW_Heading4"/>
    <w:basedOn w:val="Normal"/>
    <w:next w:val="Normal"/>
    <w:rsid w:val="007B28E6"/>
    <w:pPr>
      <w:keepNext/>
      <w:numPr>
        <w:ilvl w:val="3"/>
        <w:numId w:val="9"/>
      </w:numPr>
      <w:suppressAutoHyphens/>
      <w:spacing w:after="240" w:line="360" w:lineRule="auto"/>
      <w:jc w:val="both"/>
      <w:outlineLvl w:val="3"/>
    </w:pPr>
    <w:rPr>
      <w:b/>
      <w:szCs w:val="24"/>
    </w:rPr>
  </w:style>
  <w:style w:type="paragraph" w:customStyle="1" w:styleId="WWHeading5">
    <w:name w:val="WW_Heading5"/>
    <w:basedOn w:val="Normal"/>
    <w:next w:val="Normal"/>
    <w:rsid w:val="007B28E6"/>
    <w:pPr>
      <w:keepNext/>
      <w:numPr>
        <w:ilvl w:val="4"/>
        <w:numId w:val="9"/>
      </w:numPr>
      <w:suppressAutoHyphens/>
      <w:spacing w:after="240" w:line="360" w:lineRule="auto"/>
      <w:jc w:val="both"/>
      <w:outlineLvl w:val="4"/>
    </w:pPr>
    <w:rPr>
      <w:b/>
      <w:szCs w:val="24"/>
    </w:rPr>
  </w:style>
  <w:style w:type="paragraph" w:customStyle="1" w:styleId="WWHeading6">
    <w:name w:val="WW_Heading6"/>
    <w:basedOn w:val="Normal"/>
    <w:next w:val="Normal"/>
    <w:rsid w:val="007B28E6"/>
    <w:pPr>
      <w:keepNext/>
      <w:numPr>
        <w:ilvl w:val="5"/>
        <w:numId w:val="9"/>
      </w:numPr>
      <w:suppressAutoHyphens/>
      <w:spacing w:after="240" w:line="360" w:lineRule="auto"/>
      <w:jc w:val="both"/>
      <w:outlineLvl w:val="5"/>
    </w:pPr>
    <w:rPr>
      <w:b/>
      <w:szCs w:val="24"/>
    </w:rPr>
  </w:style>
  <w:style w:type="paragraph" w:customStyle="1" w:styleId="WWList1">
    <w:name w:val="WW_List1"/>
    <w:basedOn w:val="WWHeading1"/>
    <w:rsid w:val="007B28E6"/>
    <w:pPr>
      <w:keepNext w:val="0"/>
      <w:spacing w:before="0"/>
    </w:pPr>
    <w:rPr>
      <w:b w:val="0"/>
    </w:rPr>
  </w:style>
  <w:style w:type="character" w:styleId="CommentReference">
    <w:name w:val="annotation reference"/>
    <w:rsid w:val="007B28E6"/>
    <w:rPr>
      <w:rFonts w:cs="Times New Roman"/>
      <w:sz w:val="16"/>
      <w:szCs w:val="16"/>
    </w:rPr>
  </w:style>
  <w:style w:type="paragraph" w:styleId="CommentText">
    <w:name w:val="annotation text"/>
    <w:basedOn w:val="Normal"/>
    <w:link w:val="CommentTextChar"/>
    <w:rsid w:val="007B28E6"/>
    <w:pPr>
      <w:suppressAutoHyphens/>
    </w:pPr>
    <w:rPr>
      <w:sz w:val="16"/>
      <w:szCs w:val="20"/>
    </w:rPr>
  </w:style>
  <w:style w:type="character" w:customStyle="1" w:styleId="CommentTextChar">
    <w:name w:val="Comment Text Char"/>
    <w:basedOn w:val="DefaultParagraphFont"/>
    <w:link w:val="CommentText"/>
    <w:rsid w:val="007B28E6"/>
    <w:rPr>
      <w:rFonts w:ascii="Arial" w:hAnsi="Arial"/>
      <w:sz w:val="16"/>
      <w:lang w:val="en-GB" w:eastAsia="en-GB"/>
    </w:rPr>
  </w:style>
  <w:style w:type="paragraph" w:customStyle="1" w:styleId="Default">
    <w:name w:val="Default"/>
    <w:rsid w:val="00D07B4E"/>
    <w:pPr>
      <w:autoSpaceDE w:val="0"/>
      <w:autoSpaceDN w:val="0"/>
      <w:adjustRightInd w:val="0"/>
    </w:pPr>
    <w:rPr>
      <w:color w:val="000000"/>
      <w:sz w:val="24"/>
      <w:szCs w:val="24"/>
    </w:rPr>
  </w:style>
  <w:style w:type="paragraph" w:customStyle="1" w:styleId="Style17">
    <w:name w:val="Style 17"/>
    <w:uiPriority w:val="99"/>
    <w:rsid w:val="00E12A2E"/>
    <w:pPr>
      <w:widowControl w:val="0"/>
      <w:autoSpaceDE w:val="0"/>
      <w:autoSpaceDN w:val="0"/>
      <w:spacing w:before="468" w:line="278" w:lineRule="auto"/>
    </w:pPr>
    <w:rPr>
      <w:rFonts w:ascii="Arial" w:hAnsi="Arial" w:cs="Arial"/>
      <w:sz w:val="22"/>
      <w:szCs w:val="22"/>
      <w:lang w:val="en-US" w:eastAsia="en-GB"/>
    </w:rPr>
  </w:style>
  <w:style w:type="paragraph" w:customStyle="1" w:styleId="WWAnnexHead1">
    <w:name w:val="WW_AnnexHead1"/>
    <w:basedOn w:val="Normal"/>
    <w:next w:val="Normal"/>
    <w:rsid w:val="00EA6CEA"/>
    <w:pPr>
      <w:keepNext/>
      <w:numPr>
        <w:numId w:val="12"/>
      </w:numPr>
      <w:suppressAutoHyphens/>
      <w:spacing w:before="240" w:after="240" w:line="360" w:lineRule="auto"/>
      <w:jc w:val="both"/>
      <w:outlineLvl w:val="0"/>
    </w:pPr>
    <w:rPr>
      <w:b/>
      <w:szCs w:val="24"/>
    </w:rPr>
  </w:style>
  <w:style w:type="paragraph" w:customStyle="1" w:styleId="WWAnnexHead2">
    <w:name w:val="WW_AnnexHead2"/>
    <w:basedOn w:val="Normal"/>
    <w:next w:val="Normal"/>
    <w:rsid w:val="00EA6CEA"/>
    <w:pPr>
      <w:keepNext/>
      <w:numPr>
        <w:ilvl w:val="1"/>
        <w:numId w:val="12"/>
      </w:numPr>
      <w:tabs>
        <w:tab w:val="left" w:pos="3402"/>
        <w:tab w:val="left" w:pos="3969"/>
      </w:tabs>
      <w:suppressAutoHyphens/>
      <w:spacing w:after="240" w:line="360" w:lineRule="auto"/>
      <w:jc w:val="both"/>
      <w:outlineLvl w:val="1"/>
    </w:pPr>
    <w:rPr>
      <w:b/>
      <w:szCs w:val="24"/>
    </w:rPr>
  </w:style>
  <w:style w:type="paragraph" w:customStyle="1" w:styleId="WWAnnexHead3">
    <w:name w:val="WW_AnnexHead3"/>
    <w:basedOn w:val="Normal"/>
    <w:next w:val="Normal"/>
    <w:rsid w:val="00EA6CEA"/>
    <w:pPr>
      <w:keepNext/>
      <w:numPr>
        <w:ilvl w:val="2"/>
        <w:numId w:val="12"/>
      </w:numPr>
      <w:tabs>
        <w:tab w:val="left" w:pos="3969"/>
        <w:tab w:val="left" w:pos="4536"/>
      </w:tabs>
      <w:suppressAutoHyphens/>
      <w:spacing w:after="240" w:line="360" w:lineRule="auto"/>
      <w:jc w:val="both"/>
      <w:outlineLvl w:val="2"/>
    </w:pPr>
    <w:rPr>
      <w:b/>
      <w:szCs w:val="24"/>
    </w:rPr>
  </w:style>
  <w:style w:type="paragraph" w:customStyle="1" w:styleId="WWAnnexHead4">
    <w:name w:val="WW_AnnexHead4"/>
    <w:basedOn w:val="Normal"/>
    <w:next w:val="Normal"/>
    <w:rsid w:val="00EA6CEA"/>
    <w:pPr>
      <w:keepNext/>
      <w:numPr>
        <w:ilvl w:val="3"/>
        <w:numId w:val="12"/>
      </w:numPr>
      <w:suppressAutoHyphens/>
      <w:spacing w:after="240" w:line="360" w:lineRule="auto"/>
      <w:jc w:val="both"/>
      <w:outlineLvl w:val="3"/>
    </w:pPr>
    <w:rPr>
      <w:b/>
      <w:szCs w:val="24"/>
    </w:rPr>
  </w:style>
  <w:style w:type="paragraph" w:customStyle="1" w:styleId="WWAnnexHead5">
    <w:name w:val="WW_AnnexHead5"/>
    <w:basedOn w:val="Normal"/>
    <w:next w:val="Normal"/>
    <w:rsid w:val="00EA6CEA"/>
    <w:pPr>
      <w:keepNext/>
      <w:numPr>
        <w:ilvl w:val="4"/>
        <w:numId w:val="12"/>
      </w:numPr>
      <w:suppressAutoHyphens/>
      <w:spacing w:after="240" w:line="360" w:lineRule="auto"/>
      <w:jc w:val="both"/>
      <w:outlineLvl w:val="4"/>
    </w:pPr>
    <w:rPr>
      <w:b/>
      <w:szCs w:val="24"/>
    </w:rPr>
  </w:style>
  <w:style w:type="paragraph" w:customStyle="1" w:styleId="WWAnnexHead6">
    <w:name w:val="WW_AnnexHead6"/>
    <w:basedOn w:val="Normal"/>
    <w:next w:val="Normal"/>
    <w:rsid w:val="00EA6CEA"/>
    <w:pPr>
      <w:keepNext/>
      <w:numPr>
        <w:ilvl w:val="5"/>
        <w:numId w:val="12"/>
      </w:numPr>
      <w:suppressAutoHyphens/>
      <w:spacing w:after="240" w:line="360" w:lineRule="auto"/>
      <w:jc w:val="both"/>
      <w:outlineLvl w:val="5"/>
    </w:pPr>
    <w:rPr>
      <w:b/>
      <w:szCs w:val="24"/>
    </w:rPr>
  </w:style>
  <w:style w:type="character" w:customStyle="1" w:styleId="Heading1Char">
    <w:name w:val="Heading 1 Char"/>
    <w:basedOn w:val="DefaultParagraphFont"/>
    <w:link w:val="Heading1"/>
    <w:rsid w:val="00161C2C"/>
    <w:rPr>
      <w:rFonts w:eastAsiaTheme="majorEastAsia" w:cstheme="majorBidi"/>
      <w:b/>
      <w:sz w:val="24"/>
      <w:szCs w:val="32"/>
      <w:lang w:val="en-GB" w:eastAsia="en-GB"/>
    </w:rPr>
  </w:style>
  <w:style w:type="paragraph" w:styleId="TOCHeading">
    <w:name w:val="TOC Heading"/>
    <w:basedOn w:val="Heading1"/>
    <w:next w:val="Normal"/>
    <w:uiPriority w:val="39"/>
    <w:unhideWhenUsed/>
    <w:qFormat/>
    <w:rsid w:val="00DC3FFD"/>
    <w:pPr>
      <w:spacing w:line="259" w:lineRule="auto"/>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DC3FFD"/>
    <w:pPr>
      <w:spacing w:after="100"/>
    </w:pPr>
  </w:style>
  <w:style w:type="paragraph" w:styleId="TOC2">
    <w:name w:val="toc 2"/>
    <w:basedOn w:val="Normal"/>
    <w:next w:val="Normal"/>
    <w:autoRedefine/>
    <w:uiPriority w:val="39"/>
    <w:unhideWhenUsed/>
    <w:rsid w:val="00DC3FFD"/>
    <w:pPr>
      <w:spacing w:after="100" w:line="259" w:lineRule="auto"/>
      <w:ind w:left="220"/>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DC3FFD"/>
    <w:pPr>
      <w:spacing w:after="100" w:line="259" w:lineRule="auto"/>
      <w:ind w:left="440"/>
    </w:pPr>
    <w:rPr>
      <w:rFonts w:asciiTheme="minorHAnsi" w:eastAsiaTheme="minorEastAsia" w:hAnsiTheme="minorHAnsi"/>
      <w:lang w:val="en-US" w:eastAsia="en-US"/>
    </w:rPr>
  </w:style>
  <w:style w:type="character" w:customStyle="1" w:styleId="Heading2Char">
    <w:name w:val="Heading 2 Char"/>
    <w:basedOn w:val="DefaultParagraphFont"/>
    <w:link w:val="Heading2"/>
    <w:rsid w:val="00DC3FFD"/>
    <w:rPr>
      <w:rFonts w:eastAsiaTheme="majorEastAsia" w:cstheme="majorBidi"/>
      <w:b/>
      <w:sz w:val="24"/>
      <w:szCs w:val="26"/>
      <w:u w:val="single"/>
      <w:lang w:val="en-GB" w:eastAsia="en-GB"/>
    </w:rPr>
  </w:style>
  <w:style w:type="paragraph" w:customStyle="1" w:styleId="footnote-x">
    <w:name w:val="footnote-x"/>
    <w:basedOn w:val="Normal"/>
    <w:rsid w:val="005D0128"/>
    <w:pPr>
      <w:ind w:left="340" w:hanging="340"/>
      <w:jc w:val="both"/>
    </w:pPr>
    <w:rPr>
      <w:rFonts w:ascii="Verdana" w:hAnsi="Verdana"/>
      <w:color w:val="000000"/>
      <w:sz w:val="16"/>
      <w:szCs w:val="16"/>
      <w:lang w:val="en-ZA" w:eastAsia="en-ZA"/>
    </w:rPr>
  </w:style>
  <w:style w:type="paragraph" w:customStyle="1" w:styleId="lg-i">
    <w:name w:val="lg-i"/>
    <w:basedOn w:val="Normal"/>
    <w:rsid w:val="00964E79"/>
    <w:pPr>
      <w:spacing w:before="180"/>
      <w:ind w:left="1361" w:hanging="1361"/>
      <w:jc w:val="both"/>
    </w:pPr>
    <w:rPr>
      <w:rFonts w:ascii="Verdana" w:hAnsi="Verdana"/>
      <w:color w:val="000000"/>
      <w:sz w:val="18"/>
      <w:szCs w:val="18"/>
      <w:lang w:val="en-ZA" w:eastAsia="en-ZA"/>
    </w:rPr>
  </w:style>
  <w:style w:type="paragraph" w:customStyle="1" w:styleId="normal-text">
    <w:name w:val="normal-text"/>
    <w:basedOn w:val="Normal"/>
    <w:rsid w:val="00964E79"/>
    <w:pPr>
      <w:spacing w:before="180"/>
      <w:jc w:val="both"/>
    </w:pPr>
    <w:rPr>
      <w:rFonts w:ascii="Verdana" w:hAnsi="Verdana"/>
      <w:color w:val="000000"/>
      <w:sz w:val="18"/>
      <w:szCs w:val="18"/>
      <w:lang w:val="en-ZA" w:eastAsia="en-ZA"/>
    </w:rPr>
  </w:style>
  <w:style w:type="paragraph" w:customStyle="1" w:styleId="lg-a-1">
    <w:name w:val="lg-a-1"/>
    <w:basedOn w:val="Normal"/>
    <w:rsid w:val="00BC5CC3"/>
    <w:pPr>
      <w:spacing w:before="180"/>
      <w:ind w:left="1361" w:hanging="1361"/>
      <w:jc w:val="both"/>
    </w:pPr>
    <w:rPr>
      <w:rFonts w:ascii="Verdana" w:hAnsi="Verdana"/>
      <w:color w:val="000000"/>
      <w:sz w:val="18"/>
      <w:szCs w:val="18"/>
      <w:lang w:val="en-ZA" w:eastAsia="en-ZA"/>
    </w:rPr>
  </w:style>
  <w:style w:type="paragraph" w:customStyle="1" w:styleId="lg-section">
    <w:name w:val="lg-section"/>
    <w:basedOn w:val="Normal"/>
    <w:rsid w:val="00BC5CC3"/>
    <w:pPr>
      <w:spacing w:before="300"/>
      <w:ind w:firstLine="403"/>
      <w:jc w:val="both"/>
    </w:pPr>
    <w:rPr>
      <w:rFonts w:ascii="Verdana" w:hAnsi="Verdana"/>
      <w:color w:val="000000"/>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6832">
      <w:bodyDiv w:val="1"/>
      <w:marLeft w:val="0"/>
      <w:marRight w:val="0"/>
      <w:marTop w:val="0"/>
      <w:marBottom w:val="0"/>
      <w:divBdr>
        <w:top w:val="none" w:sz="0" w:space="0" w:color="auto"/>
        <w:left w:val="none" w:sz="0" w:space="0" w:color="auto"/>
        <w:bottom w:val="none" w:sz="0" w:space="0" w:color="auto"/>
        <w:right w:val="none" w:sz="0" w:space="0" w:color="auto"/>
      </w:divBdr>
    </w:div>
    <w:div w:id="754471935">
      <w:bodyDiv w:val="1"/>
      <w:marLeft w:val="0"/>
      <w:marRight w:val="0"/>
      <w:marTop w:val="0"/>
      <w:marBottom w:val="0"/>
      <w:divBdr>
        <w:top w:val="none" w:sz="0" w:space="0" w:color="auto"/>
        <w:left w:val="none" w:sz="0" w:space="0" w:color="auto"/>
        <w:bottom w:val="none" w:sz="0" w:space="0" w:color="auto"/>
        <w:right w:val="none" w:sz="0" w:space="0" w:color="auto"/>
      </w:divBdr>
      <w:divsChild>
        <w:div w:id="1453670976">
          <w:marLeft w:val="225"/>
          <w:marRight w:val="0"/>
          <w:marTop w:val="0"/>
          <w:marBottom w:val="0"/>
          <w:divBdr>
            <w:top w:val="none" w:sz="0" w:space="0" w:color="auto"/>
            <w:left w:val="none" w:sz="0" w:space="0" w:color="auto"/>
            <w:bottom w:val="none" w:sz="0" w:space="0" w:color="auto"/>
            <w:right w:val="none" w:sz="0" w:space="0" w:color="auto"/>
          </w:divBdr>
        </w:div>
      </w:divsChild>
    </w:div>
    <w:div w:id="1135416585">
      <w:bodyDiv w:val="1"/>
      <w:marLeft w:val="0"/>
      <w:marRight w:val="0"/>
      <w:marTop w:val="0"/>
      <w:marBottom w:val="0"/>
      <w:divBdr>
        <w:top w:val="none" w:sz="0" w:space="0" w:color="auto"/>
        <w:left w:val="none" w:sz="0" w:space="0" w:color="auto"/>
        <w:bottom w:val="none" w:sz="0" w:space="0" w:color="auto"/>
        <w:right w:val="none" w:sz="0" w:space="0" w:color="auto"/>
      </w:divBdr>
      <w:divsChild>
        <w:div w:id="288122428">
          <w:marLeft w:val="225"/>
          <w:marRight w:val="0"/>
          <w:marTop w:val="0"/>
          <w:marBottom w:val="0"/>
          <w:divBdr>
            <w:top w:val="none" w:sz="0" w:space="0" w:color="auto"/>
            <w:left w:val="none" w:sz="0" w:space="0" w:color="auto"/>
            <w:bottom w:val="none" w:sz="0" w:space="0" w:color="auto"/>
            <w:right w:val="none" w:sz="0" w:space="0" w:color="auto"/>
          </w:divBdr>
        </w:div>
      </w:divsChild>
    </w:div>
    <w:div w:id="1331444002">
      <w:bodyDiv w:val="1"/>
      <w:marLeft w:val="0"/>
      <w:marRight w:val="0"/>
      <w:marTop w:val="0"/>
      <w:marBottom w:val="0"/>
      <w:divBdr>
        <w:top w:val="none" w:sz="0" w:space="0" w:color="auto"/>
        <w:left w:val="none" w:sz="0" w:space="0" w:color="auto"/>
        <w:bottom w:val="none" w:sz="0" w:space="0" w:color="auto"/>
        <w:right w:val="none" w:sz="0" w:space="0" w:color="auto"/>
      </w:divBdr>
      <w:divsChild>
        <w:div w:id="150624052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050E9-B252-44C0-AA5C-8EFFDD00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 THE MAGISTRATE’S COURT FOR THE DISTRICT OF THE CAPE</vt:lpstr>
    </vt:vector>
  </TitlesOfParts>
  <Company>CK Friedlander</Company>
  <LinksUpToDate>false</LinksUpToDate>
  <CharactersWithSpaces>27060</CharactersWithSpaces>
  <SharedDoc>false</SharedDoc>
  <HLinks>
    <vt:vector size="12" baseType="variant">
      <vt:variant>
        <vt:i4>1310842</vt:i4>
      </vt:variant>
      <vt:variant>
        <vt:i4>0</vt:i4>
      </vt:variant>
      <vt:variant>
        <vt:i4>0</vt:i4>
      </vt:variant>
      <vt:variant>
        <vt:i4>5</vt:i4>
      </vt:variant>
      <vt:variant>
        <vt:lpwstr>mailto:botmaj@vanwall.co.za</vt:lpwstr>
      </vt:variant>
      <vt:variant>
        <vt:lpwstr/>
      </vt:variant>
      <vt:variant>
        <vt:i4>6029354</vt:i4>
      </vt:variant>
      <vt:variant>
        <vt:i4>5</vt:i4>
      </vt:variant>
      <vt:variant>
        <vt:i4>0</vt:i4>
      </vt:variant>
      <vt:variant>
        <vt:i4>5</vt:i4>
      </vt:variant>
      <vt:variant>
        <vt:lpwstr>mailto:martinb@stbb.co.za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THE CAPE</dc:title>
  <dc:creator>Lynh</dc:creator>
  <cp:lastModifiedBy>Windows User</cp:lastModifiedBy>
  <cp:revision>2</cp:revision>
  <cp:lastPrinted>2017-04-24T09:09:00Z</cp:lastPrinted>
  <dcterms:created xsi:type="dcterms:W3CDTF">2017-06-19T08:55:00Z</dcterms:created>
  <dcterms:modified xsi:type="dcterms:W3CDTF">2017-06-19T08:55:00Z</dcterms:modified>
</cp:coreProperties>
</file>